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2C6" w:rsidRDefault="008A22C6" w:rsidP="008A22C6"/>
    <w:p w:rsidR="00AC33D0" w:rsidRDefault="00AC33D0" w:rsidP="008A22C6"/>
    <w:p w:rsidR="009B52AD" w:rsidRDefault="009B52AD" w:rsidP="008A22C6">
      <w:pPr>
        <w:rPr>
          <w:sz w:val="32"/>
          <w:szCs w:val="32"/>
        </w:rPr>
      </w:pPr>
    </w:p>
    <w:p w:rsidR="009B52AD" w:rsidRDefault="009B52AD" w:rsidP="008A22C6">
      <w:pPr>
        <w:rPr>
          <w:sz w:val="32"/>
          <w:szCs w:val="32"/>
        </w:rPr>
      </w:pPr>
    </w:p>
    <w:p w:rsidR="009B52AD" w:rsidRDefault="009B52AD" w:rsidP="008A22C6">
      <w:pPr>
        <w:rPr>
          <w:sz w:val="32"/>
          <w:szCs w:val="32"/>
        </w:rPr>
      </w:pPr>
    </w:p>
    <w:p w:rsidR="009B52AD" w:rsidRDefault="009B52AD" w:rsidP="008A22C6">
      <w:pPr>
        <w:rPr>
          <w:sz w:val="32"/>
          <w:szCs w:val="32"/>
        </w:rPr>
      </w:pPr>
    </w:p>
    <w:p w:rsidR="009B52AD" w:rsidRDefault="009B52AD" w:rsidP="008A22C6">
      <w:pPr>
        <w:rPr>
          <w:sz w:val="32"/>
          <w:szCs w:val="32"/>
        </w:rPr>
      </w:pPr>
    </w:p>
    <w:p w:rsidR="00991E0A" w:rsidRDefault="00991E0A" w:rsidP="008A22C6">
      <w:pPr>
        <w:rPr>
          <w:sz w:val="32"/>
          <w:szCs w:val="32"/>
        </w:rPr>
      </w:pPr>
    </w:p>
    <w:p w:rsidR="00991E0A" w:rsidRDefault="00991E0A" w:rsidP="008A22C6">
      <w:pPr>
        <w:rPr>
          <w:sz w:val="32"/>
          <w:szCs w:val="32"/>
        </w:rPr>
      </w:pPr>
    </w:p>
    <w:p w:rsidR="00991E0A" w:rsidRDefault="00745130" w:rsidP="008A22C6">
      <w:pPr>
        <w:rPr>
          <w:sz w:val="32"/>
          <w:szCs w:val="32"/>
        </w:rPr>
      </w:pPr>
      <w:r>
        <w:rPr>
          <w:noProof/>
          <w:lang w:eastAsia="en-GB"/>
        </w:rPr>
        <w:drawing>
          <wp:anchor distT="0" distB="0" distL="114300" distR="114300" simplePos="0" relativeHeight="251659264" behindDoc="1" locked="0" layoutInCell="1" allowOverlap="1" wp14:anchorId="6B36EF3A" wp14:editId="35847AE8">
            <wp:simplePos x="0" y="0"/>
            <wp:positionH relativeFrom="column">
              <wp:posOffset>5223510</wp:posOffset>
            </wp:positionH>
            <wp:positionV relativeFrom="paragraph">
              <wp:posOffset>-2981960</wp:posOffset>
            </wp:positionV>
            <wp:extent cx="1621155" cy="13339445"/>
            <wp:effectExtent l="0" t="0" r="0" b="0"/>
            <wp:wrapTight wrapText="bothSides">
              <wp:wrapPolygon edited="0">
                <wp:start x="0" y="0"/>
                <wp:lineTo x="0" y="21562"/>
                <wp:lineTo x="21321" y="21562"/>
                <wp:lineTo x="213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1155" cy="13339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33D0" w:rsidRPr="00745130" w:rsidRDefault="00AC33D0" w:rsidP="00745130">
      <w:pPr>
        <w:tabs>
          <w:tab w:val="left" w:pos="5505"/>
        </w:tabs>
        <w:rPr>
          <w:sz w:val="36"/>
          <w:szCs w:val="36"/>
        </w:rPr>
      </w:pPr>
      <w:r w:rsidRPr="00745130">
        <w:rPr>
          <w:sz w:val="36"/>
          <w:szCs w:val="36"/>
        </w:rPr>
        <w:t>Procurement Strategy</w:t>
      </w:r>
      <w:r w:rsidR="00745130" w:rsidRPr="00745130">
        <w:rPr>
          <w:sz w:val="36"/>
          <w:szCs w:val="36"/>
        </w:rPr>
        <w:tab/>
      </w:r>
    </w:p>
    <w:p w:rsidR="00AC33D0" w:rsidRPr="009B52AD" w:rsidRDefault="00AC33D0" w:rsidP="008A22C6">
      <w:pPr>
        <w:rPr>
          <w:sz w:val="32"/>
          <w:szCs w:val="32"/>
        </w:rPr>
      </w:pPr>
    </w:p>
    <w:p w:rsidR="00AC33D0" w:rsidRPr="009B52AD" w:rsidRDefault="00AC33D0" w:rsidP="008A22C6">
      <w:pPr>
        <w:rPr>
          <w:sz w:val="32"/>
          <w:szCs w:val="32"/>
        </w:rPr>
      </w:pPr>
      <w:r w:rsidRPr="009B52AD">
        <w:rPr>
          <w:sz w:val="32"/>
          <w:szCs w:val="32"/>
        </w:rPr>
        <w:t>Contract Title</w:t>
      </w:r>
      <w:r w:rsidR="00745130">
        <w:rPr>
          <w:sz w:val="32"/>
          <w:szCs w:val="32"/>
        </w:rPr>
        <w:t>:</w:t>
      </w:r>
      <w:r w:rsidR="00FF3EBB">
        <w:rPr>
          <w:sz w:val="32"/>
          <w:szCs w:val="32"/>
        </w:rPr>
        <w:t xml:space="preserve"> Provision of Energy</w:t>
      </w:r>
    </w:p>
    <w:p w:rsidR="00AC33D0" w:rsidRPr="009B52AD" w:rsidRDefault="00AC33D0" w:rsidP="008A22C6">
      <w:pPr>
        <w:rPr>
          <w:sz w:val="32"/>
          <w:szCs w:val="32"/>
        </w:rPr>
      </w:pPr>
    </w:p>
    <w:p w:rsidR="00AC33D0" w:rsidRPr="009B52AD" w:rsidRDefault="00AC33D0" w:rsidP="008A22C6">
      <w:pPr>
        <w:rPr>
          <w:sz w:val="32"/>
          <w:szCs w:val="32"/>
        </w:rPr>
      </w:pPr>
      <w:r w:rsidRPr="009B52AD">
        <w:rPr>
          <w:sz w:val="32"/>
          <w:szCs w:val="32"/>
        </w:rPr>
        <w:t>Project Initiative Reference</w:t>
      </w:r>
      <w:r w:rsidR="00745130">
        <w:rPr>
          <w:sz w:val="32"/>
          <w:szCs w:val="32"/>
        </w:rPr>
        <w:t>:</w:t>
      </w:r>
    </w:p>
    <w:p w:rsidR="00AC33D0" w:rsidRDefault="00AC33D0" w:rsidP="008A22C6"/>
    <w:p w:rsidR="009B52AD" w:rsidRDefault="009B52AD" w:rsidP="008A22C6"/>
    <w:p w:rsidR="00286213" w:rsidRDefault="00286213" w:rsidP="008A22C6"/>
    <w:p w:rsidR="00286213" w:rsidRDefault="00286213" w:rsidP="008A22C6"/>
    <w:p w:rsidR="00286213" w:rsidRDefault="00286213" w:rsidP="008A22C6"/>
    <w:p w:rsidR="00286213" w:rsidRDefault="00286213" w:rsidP="008A22C6"/>
    <w:p w:rsidR="00286213" w:rsidRDefault="00286213" w:rsidP="008A22C6"/>
    <w:p w:rsidR="00286213" w:rsidRDefault="00286213" w:rsidP="008A22C6"/>
    <w:p w:rsidR="00286213" w:rsidRDefault="00286213" w:rsidP="008A22C6"/>
    <w:p w:rsidR="009B52AD" w:rsidRPr="00E164D6" w:rsidRDefault="009B52AD" w:rsidP="008A22C6">
      <w:pPr>
        <w:rPr>
          <w:b/>
          <w:sz w:val="28"/>
          <w:szCs w:val="28"/>
        </w:rPr>
      </w:pPr>
      <w:r w:rsidRPr="00E164D6">
        <w:rPr>
          <w:b/>
          <w:sz w:val="28"/>
          <w:szCs w:val="28"/>
        </w:rPr>
        <w:t>Procurement Team</w:t>
      </w:r>
    </w:p>
    <w:p w:rsidR="009B52AD" w:rsidRDefault="00CA7071" w:rsidP="008A22C6">
      <w:r>
        <w:t>Version 2</w:t>
      </w:r>
      <w:r w:rsidR="00745130">
        <w:t>.0</w:t>
      </w:r>
      <w:r w:rsidR="00E164D6">
        <w:t xml:space="preserve"> March 2015</w:t>
      </w:r>
    </w:p>
    <w:p w:rsidR="00AC33D0" w:rsidRDefault="00AC33D0" w:rsidP="008A22C6"/>
    <w:p w:rsidR="00AC33D0" w:rsidRDefault="00AC33D0">
      <w:r>
        <w:br w:type="page"/>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ook w:val="04A0" w:firstRow="1" w:lastRow="0" w:firstColumn="1" w:lastColumn="0" w:noHBand="0" w:noVBand="1"/>
      </w:tblPr>
      <w:tblGrid>
        <w:gridCol w:w="9606"/>
      </w:tblGrid>
      <w:tr w:rsidR="000277C4" w:rsidRPr="001A76AF" w:rsidTr="007805EE">
        <w:tc>
          <w:tcPr>
            <w:tcW w:w="9606" w:type="dxa"/>
            <w:shd w:val="clear" w:color="auto" w:fill="000000" w:themeFill="text1"/>
          </w:tcPr>
          <w:p w:rsidR="000277C4" w:rsidRPr="000277C4" w:rsidRDefault="000277C4" w:rsidP="000277C4">
            <w:pPr>
              <w:pStyle w:val="ListParagraph"/>
              <w:spacing w:before="60" w:after="60"/>
              <w:ind w:left="567" w:hanging="567"/>
              <w:rPr>
                <w:b/>
                <w:sz w:val="28"/>
                <w:szCs w:val="28"/>
              </w:rPr>
            </w:pPr>
            <w:r>
              <w:rPr>
                <w:b/>
                <w:sz w:val="28"/>
                <w:szCs w:val="28"/>
              </w:rPr>
              <w:lastRenderedPageBreak/>
              <w:t>Part A</w:t>
            </w:r>
            <w:r w:rsidRPr="00FE29C2">
              <w:rPr>
                <w:b/>
                <w:sz w:val="28"/>
                <w:szCs w:val="28"/>
              </w:rPr>
              <w:t xml:space="preserve"> –</w:t>
            </w:r>
            <w:r>
              <w:rPr>
                <w:b/>
                <w:sz w:val="28"/>
                <w:szCs w:val="28"/>
              </w:rPr>
              <w:t xml:space="preserve"> pre</w:t>
            </w:r>
            <w:r w:rsidRPr="000277C4">
              <w:rPr>
                <w:b/>
                <w:sz w:val="28"/>
                <w:szCs w:val="28"/>
              </w:rPr>
              <w:t xml:space="preserve"> procurement</w:t>
            </w:r>
          </w:p>
        </w:tc>
      </w:tr>
    </w:tbl>
    <w:p w:rsidR="009B52AD" w:rsidRPr="000277C4" w:rsidRDefault="009B52AD" w:rsidP="000277C4">
      <w:pPr>
        <w:rPr>
          <w:b/>
          <w:sz w:val="16"/>
          <w:szCs w:val="16"/>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333FF"/>
        <w:tblLook w:val="04A0" w:firstRow="1" w:lastRow="0" w:firstColumn="1" w:lastColumn="0" w:noHBand="0" w:noVBand="1"/>
      </w:tblPr>
      <w:tblGrid>
        <w:gridCol w:w="9606"/>
      </w:tblGrid>
      <w:tr w:rsidR="001A76AF" w:rsidRPr="001A76AF" w:rsidTr="00974F90">
        <w:tc>
          <w:tcPr>
            <w:tcW w:w="9606" w:type="dxa"/>
            <w:shd w:val="clear" w:color="auto" w:fill="3333FF"/>
          </w:tcPr>
          <w:p w:rsidR="00AC33D0" w:rsidRPr="001A76AF" w:rsidRDefault="000C707E" w:rsidP="001A76AF">
            <w:pPr>
              <w:pStyle w:val="ListParagraph"/>
              <w:numPr>
                <w:ilvl w:val="0"/>
                <w:numId w:val="1"/>
              </w:numPr>
              <w:spacing w:before="40" w:after="40"/>
              <w:ind w:left="567" w:hanging="567"/>
              <w:rPr>
                <w:b/>
                <w:color w:val="FFFFFF" w:themeColor="background1"/>
              </w:rPr>
            </w:pPr>
            <w:r>
              <w:rPr>
                <w:b/>
                <w:color w:val="FFFFFF" w:themeColor="background1"/>
              </w:rPr>
              <w:t>PROJECT DETAILS &amp; GOVERNANCE</w:t>
            </w:r>
          </w:p>
        </w:tc>
      </w:tr>
    </w:tbl>
    <w:p w:rsidR="00AC33D0" w:rsidRDefault="00AC33D0" w:rsidP="008A22C6"/>
    <w:p w:rsidR="00AC33D0" w:rsidRDefault="00AC33D0" w:rsidP="00974F90">
      <w:pPr>
        <w:pStyle w:val="ListParagraph"/>
        <w:numPr>
          <w:ilvl w:val="1"/>
          <w:numId w:val="1"/>
        </w:numPr>
        <w:ind w:left="709" w:hanging="709"/>
      </w:pPr>
      <w:r>
        <w:t>Background</w:t>
      </w:r>
      <w:r w:rsidR="00286213">
        <w:t>.</w:t>
      </w:r>
    </w:p>
    <w:tbl>
      <w:tblPr>
        <w:tblStyle w:val="TableGrid"/>
        <w:tblW w:w="9606" w:type="dxa"/>
        <w:tblLook w:val="04A0" w:firstRow="1" w:lastRow="0" w:firstColumn="1" w:lastColumn="0" w:noHBand="0" w:noVBand="1"/>
      </w:tblPr>
      <w:tblGrid>
        <w:gridCol w:w="9606"/>
      </w:tblGrid>
      <w:tr w:rsidR="00AC33D0" w:rsidTr="00974F90">
        <w:tc>
          <w:tcPr>
            <w:tcW w:w="9606" w:type="dxa"/>
          </w:tcPr>
          <w:p w:rsidR="00AC33D0" w:rsidRDefault="00AC33D0" w:rsidP="004D1623">
            <w:pPr>
              <w:pStyle w:val="ListParagraph"/>
              <w:ind w:left="0"/>
            </w:pPr>
          </w:p>
          <w:p w:rsidR="00304637" w:rsidRDefault="00304637" w:rsidP="004D1623">
            <w:pPr>
              <w:pStyle w:val="ListParagraph"/>
              <w:ind w:left="0"/>
            </w:pPr>
            <w:r>
              <w:t>Since gas and electricity markets opened to competition in the 1990’s, the energy market has become a highly specialised field of procurement.  The complexity of the procurement options can create a risk if not managed by someone with the appropriate level of skills and expertise.  It is also time consuming due to the potential number of suppliers and types of contract available.</w:t>
            </w:r>
          </w:p>
          <w:p w:rsidR="00D069A3" w:rsidRDefault="004361AB" w:rsidP="002348D6">
            <w:r>
              <w:t>In recent years</w:t>
            </w:r>
            <w:r w:rsidR="00304637">
              <w:t xml:space="preserve"> the </w:t>
            </w:r>
            <w:r w:rsidR="00A2263C">
              <w:t xml:space="preserve">energy contract options have developed considerably with a range of contract types available and with increasing complexity requiring specialists to manage. For example, Flexible purchasing relies on </w:t>
            </w:r>
            <w:r w:rsidR="00304637">
              <w:t>specialist buyers monitor</w:t>
            </w:r>
            <w:r w:rsidR="00A2263C">
              <w:t>ing</w:t>
            </w:r>
            <w:r w:rsidR="00304637">
              <w:t xml:space="preserve"> the market on </w:t>
            </w:r>
          </w:p>
          <w:p w:rsidR="00D069A3" w:rsidRDefault="00304637" w:rsidP="00304637">
            <w:pPr>
              <w:ind w:left="720" w:hanging="720"/>
            </w:pPr>
            <w:r>
              <w:t xml:space="preserve">a daily basis to ascertain the best opportunities to purchase energy, including advance </w:t>
            </w:r>
          </w:p>
          <w:p w:rsidR="00D069A3" w:rsidRDefault="00304637" w:rsidP="00304637">
            <w:pPr>
              <w:ind w:left="720" w:hanging="720"/>
            </w:pPr>
            <w:proofErr w:type="gramStart"/>
            <w:r>
              <w:t>purchasing</w:t>
            </w:r>
            <w:proofErr w:type="gramEnd"/>
            <w:r>
              <w:t xml:space="preserve">.  Specialist support is now required to ensure value for money and </w:t>
            </w:r>
          </w:p>
          <w:p w:rsidR="00304637" w:rsidRPr="00F34023" w:rsidRDefault="00304637" w:rsidP="00304637">
            <w:pPr>
              <w:ind w:left="720" w:hanging="720"/>
            </w:pPr>
            <w:proofErr w:type="gramStart"/>
            <w:r>
              <w:t>appropriate</w:t>
            </w:r>
            <w:proofErr w:type="gramEnd"/>
            <w:r>
              <w:t xml:space="preserve"> risk management levels are applied.</w:t>
            </w:r>
          </w:p>
          <w:p w:rsidR="00D069A3" w:rsidRDefault="00304637" w:rsidP="00304637">
            <w:pPr>
              <w:tabs>
                <w:tab w:val="left" w:pos="720"/>
              </w:tabs>
              <w:ind w:left="720" w:hanging="720"/>
              <w:rPr>
                <w:rStyle w:val="Strong"/>
                <w:b w:val="0"/>
                <w:bCs w:val="0"/>
              </w:rPr>
            </w:pPr>
            <w:r>
              <w:rPr>
                <w:rStyle w:val="Strong"/>
                <w:b w:val="0"/>
                <w:bCs w:val="0"/>
              </w:rPr>
              <w:t xml:space="preserve">Several buying organisations, both private and public sector, can secure such contracts </w:t>
            </w:r>
          </w:p>
          <w:p w:rsidR="002348D6" w:rsidRDefault="00023E30" w:rsidP="00304637">
            <w:pPr>
              <w:tabs>
                <w:tab w:val="left" w:pos="720"/>
              </w:tabs>
              <w:ind w:left="720" w:hanging="720"/>
              <w:rPr>
                <w:rStyle w:val="Strong"/>
                <w:b w:val="0"/>
                <w:bCs w:val="0"/>
              </w:rPr>
            </w:pPr>
            <w:proofErr w:type="gramStart"/>
            <w:r>
              <w:rPr>
                <w:rStyle w:val="Strong"/>
                <w:b w:val="0"/>
                <w:bCs w:val="0"/>
              </w:rPr>
              <w:t>on</w:t>
            </w:r>
            <w:proofErr w:type="gramEnd"/>
            <w:r>
              <w:rPr>
                <w:rStyle w:val="Strong"/>
                <w:b w:val="0"/>
                <w:bCs w:val="0"/>
              </w:rPr>
              <w:t xml:space="preserve"> the Council’s </w:t>
            </w:r>
            <w:r w:rsidR="00304637">
              <w:rPr>
                <w:rStyle w:val="Strong"/>
                <w:b w:val="0"/>
                <w:bCs w:val="0"/>
              </w:rPr>
              <w:t>behalf.  Public sector</w:t>
            </w:r>
            <w:r w:rsidR="00BB2C96">
              <w:rPr>
                <w:rStyle w:val="Strong"/>
                <w:b w:val="0"/>
                <w:bCs w:val="0"/>
              </w:rPr>
              <w:t xml:space="preserve"> buying</w:t>
            </w:r>
            <w:r w:rsidR="00304637">
              <w:rPr>
                <w:rStyle w:val="Strong"/>
                <w:b w:val="0"/>
                <w:bCs w:val="0"/>
              </w:rPr>
              <w:t xml:space="preserve"> organisa</w:t>
            </w:r>
            <w:r w:rsidR="00BB2C96">
              <w:rPr>
                <w:rStyle w:val="Strong"/>
                <w:b w:val="0"/>
                <w:bCs w:val="0"/>
              </w:rPr>
              <w:t>tions</w:t>
            </w:r>
            <w:r w:rsidR="00A2263C">
              <w:rPr>
                <w:rStyle w:val="Strong"/>
                <w:b w:val="0"/>
                <w:bCs w:val="0"/>
              </w:rPr>
              <w:t xml:space="preserve"> (PBOs) </w:t>
            </w:r>
            <w:r w:rsidR="00BB2C96">
              <w:rPr>
                <w:rStyle w:val="Strong"/>
                <w:b w:val="0"/>
                <w:bCs w:val="0"/>
              </w:rPr>
              <w:t xml:space="preserve"> are favoured </w:t>
            </w:r>
          </w:p>
          <w:p w:rsidR="002348D6" w:rsidRDefault="00BB2C96" w:rsidP="002C0A96">
            <w:pPr>
              <w:tabs>
                <w:tab w:val="left" w:pos="720"/>
              </w:tabs>
              <w:rPr>
                <w:rStyle w:val="Strong"/>
                <w:b w:val="0"/>
                <w:bCs w:val="0"/>
              </w:rPr>
            </w:pPr>
            <w:r>
              <w:rPr>
                <w:rStyle w:val="Strong"/>
                <w:b w:val="0"/>
                <w:bCs w:val="0"/>
              </w:rPr>
              <w:t>because they</w:t>
            </w:r>
            <w:r w:rsidR="002348D6">
              <w:rPr>
                <w:rStyle w:val="Strong"/>
                <w:b w:val="0"/>
                <w:bCs w:val="0"/>
              </w:rPr>
              <w:t xml:space="preserve"> focus solely on public sector needs rather than trying to match the potentially competing</w:t>
            </w:r>
            <w:r w:rsidR="002C0A96">
              <w:rPr>
                <w:rStyle w:val="Strong"/>
                <w:b w:val="0"/>
                <w:bCs w:val="0"/>
              </w:rPr>
              <w:t xml:space="preserve"> </w:t>
            </w:r>
            <w:r w:rsidR="002348D6">
              <w:rPr>
                <w:rStyle w:val="Strong"/>
                <w:b w:val="0"/>
                <w:bCs w:val="0"/>
              </w:rPr>
              <w:t>objectives and requirements of private and public sector organisations.  In addition, these groups have long experience of acting on behalf of the public sector and are therefore well versed in their requirements and processes.  Lastly, they will certainly comply with Public Procurement Regulations 2015.</w:t>
            </w:r>
          </w:p>
          <w:p w:rsidR="002348D6" w:rsidRDefault="002348D6" w:rsidP="002348D6">
            <w:pPr>
              <w:tabs>
                <w:tab w:val="left" w:pos="720"/>
              </w:tabs>
              <w:ind w:left="720" w:hanging="720"/>
              <w:rPr>
                <w:rStyle w:val="Strong"/>
                <w:b w:val="0"/>
                <w:bCs w:val="0"/>
              </w:rPr>
            </w:pPr>
            <w:r>
              <w:rPr>
                <w:rStyle w:val="Strong"/>
                <w:b w:val="0"/>
                <w:bCs w:val="0"/>
              </w:rPr>
              <w:t xml:space="preserve">The Council has used the public buying organisation LASER for the last 3 contract </w:t>
            </w:r>
          </w:p>
          <w:p w:rsidR="002348D6" w:rsidRDefault="002348D6" w:rsidP="002348D6">
            <w:pPr>
              <w:tabs>
                <w:tab w:val="left" w:pos="720"/>
              </w:tabs>
              <w:ind w:left="720" w:hanging="720"/>
              <w:rPr>
                <w:rStyle w:val="Strong"/>
                <w:b w:val="0"/>
                <w:bCs w:val="0"/>
              </w:rPr>
            </w:pPr>
            <w:r>
              <w:rPr>
                <w:rStyle w:val="Strong"/>
                <w:b w:val="0"/>
                <w:bCs w:val="0"/>
              </w:rPr>
              <w:t>Terms.</w:t>
            </w:r>
          </w:p>
          <w:p w:rsidR="00304637" w:rsidRDefault="00304637" w:rsidP="002C0A96">
            <w:pPr>
              <w:tabs>
                <w:tab w:val="left" w:pos="720"/>
              </w:tabs>
              <w:ind w:left="720" w:hanging="720"/>
            </w:pPr>
          </w:p>
        </w:tc>
      </w:tr>
    </w:tbl>
    <w:p w:rsidR="00AC33D0" w:rsidRDefault="00AC33D0" w:rsidP="00AC33D0">
      <w:pPr>
        <w:pStyle w:val="ListParagraph"/>
        <w:ind w:left="1080"/>
      </w:pPr>
    </w:p>
    <w:p w:rsidR="00AC33D0" w:rsidRDefault="00F03377" w:rsidP="007D720E">
      <w:pPr>
        <w:pStyle w:val="ListParagraph"/>
        <w:numPr>
          <w:ilvl w:val="1"/>
          <w:numId w:val="1"/>
        </w:numPr>
        <w:ind w:left="0" w:firstLine="0"/>
      </w:pPr>
      <w:r>
        <w:t>Scope</w:t>
      </w:r>
      <w:r w:rsidR="00286213">
        <w:t>.</w:t>
      </w:r>
    </w:p>
    <w:tbl>
      <w:tblPr>
        <w:tblStyle w:val="TableGrid"/>
        <w:tblW w:w="9606" w:type="dxa"/>
        <w:tblLook w:val="04A0" w:firstRow="1" w:lastRow="0" w:firstColumn="1" w:lastColumn="0" w:noHBand="0" w:noVBand="1"/>
      </w:tblPr>
      <w:tblGrid>
        <w:gridCol w:w="9606"/>
      </w:tblGrid>
      <w:tr w:rsidR="00AC33D0" w:rsidTr="00974F90">
        <w:tc>
          <w:tcPr>
            <w:tcW w:w="9606" w:type="dxa"/>
          </w:tcPr>
          <w:p w:rsidR="00AC33D0" w:rsidRDefault="00DB504D" w:rsidP="00412FFD">
            <w:pPr>
              <w:pStyle w:val="ListParagraph"/>
              <w:ind w:left="0"/>
            </w:pPr>
            <w:r>
              <w:t xml:space="preserve">The Council is looking to purchase </w:t>
            </w:r>
            <w:r w:rsidR="0009796C">
              <w:t xml:space="preserve">electricity and gas for its larger non-domestic buildings and sites that it operates within its estate. This includes half-hourly metered electricity supplies, large non-daily </w:t>
            </w:r>
            <w:r w:rsidR="00751FAE">
              <w:t>metred</w:t>
            </w:r>
            <w:r w:rsidR="0009796C">
              <w:t xml:space="preserve"> gas </w:t>
            </w:r>
            <w:r w:rsidR="00751FAE">
              <w:t>supplies</w:t>
            </w:r>
            <w:r w:rsidR="0009796C">
              <w:t xml:space="preserve"> (&gt;73.200kWh per year) as well as quarterly billed electricity and gas supplies. </w:t>
            </w:r>
            <w:r w:rsidR="00412FFD">
              <w:t>There will also be a requirement to procure water supplies when the non-domestic market is liberalised in April 2017. Under the new arrangements customers will be free to purchase water from any water supplier (not just those within its supply region) which will present an additional procurement decision from that point to secure the most advantageous offering</w:t>
            </w:r>
          </w:p>
        </w:tc>
      </w:tr>
    </w:tbl>
    <w:p w:rsidR="00AC33D0" w:rsidRDefault="00AC33D0" w:rsidP="007D720E">
      <w:pPr>
        <w:pStyle w:val="ListParagraph"/>
        <w:ind w:left="0"/>
      </w:pPr>
    </w:p>
    <w:p w:rsidR="00AC33D0" w:rsidRDefault="00F03377" w:rsidP="007D720E">
      <w:pPr>
        <w:pStyle w:val="ListParagraph"/>
        <w:numPr>
          <w:ilvl w:val="1"/>
          <w:numId w:val="1"/>
        </w:numPr>
        <w:ind w:left="0" w:firstLine="0"/>
      </w:pPr>
      <w:r>
        <w:t>Deliverables</w:t>
      </w:r>
      <w:r w:rsidR="000C707E">
        <w:t xml:space="preserve"> / Key requirements</w:t>
      </w:r>
      <w:r w:rsidR="00286213">
        <w:t>.</w:t>
      </w:r>
    </w:p>
    <w:tbl>
      <w:tblPr>
        <w:tblStyle w:val="TableGrid"/>
        <w:tblW w:w="9606" w:type="dxa"/>
        <w:tblLook w:val="04A0" w:firstRow="1" w:lastRow="0" w:firstColumn="1" w:lastColumn="0" w:noHBand="0" w:noVBand="1"/>
      </w:tblPr>
      <w:tblGrid>
        <w:gridCol w:w="9606"/>
      </w:tblGrid>
      <w:tr w:rsidR="00AC33D0" w:rsidTr="00974F90">
        <w:tc>
          <w:tcPr>
            <w:tcW w:w="9606" w:type="dxa"/>
          </w:tcPr>
          <w:p w:rsidR="00AC33D0" w:rsidRDefault="00537F2A" w:rsidP="00675ADB">
            <w:pPr>
              <w:pStyle w:val="ListParagraph"/>
              <w:ind w:left="0"/>
            </w:pPr>
            <w:r>
              <w:t>This procurement will ensure that the Council has g</w:t>
            </w:r>
            <w:r w:rsidR="00675ADB">
              <w:t>as and</w:t>
            </w:r>
            <w:r>
              <w:t xml:space="preserve"> electricity</w:t>
            </w:r>
            <w:r w:rsidR="00EE09D1">
              <w:t xml:space="preserve"> </w:t>
            </w:r>
            <w:r>
              <w:t xml:space="preserve">supplies for the next </w:t>
            </w:r>
            <w:r w:rsidR="00EE09D1">
              <w:t>4 years.</w:t>
            </w:r>
            <w:r>
              <w:t xml:space="preserve"> </w:t>
            </w:r>
            <w:r w:rsidR="00675ADB">
              <w:t xml:space="preserve">It is also an opportunity to consider the likely impact </w:t>
            </w:r>
            <w:r w:rsidR="00A2263C">
              <w:t xml:space="preserve">and procurement options arising out </w:t>
            </w:r>
            <w:r w:rsidR="00675ADB">
              <w:t>of the Water Act 2014, which moves ever closer</w:t>
            </w:r>
            <w:r w:rsidR="00AB3A26">
              <w:t xml:space="preserve"> to the opening of the water supply market in April 2017.</w:t>
            </w:r>
          </w:p>
        </w:tc>
      </w:tr>
    </w:tbl>
    <w:p w:rsidR="00AC33D0" w:rsidRDefault="00AC33D0" w:rsidP="007D720E"/>
    <w:p w:rsidR="00DC3E54" w:rsidRDefault="00DC3E54" w:rsidP="007D720E">
      <w:r>
        <w:rPr>
          <w:u w:val="single"/>
        </w:rPr>
        <w:t>Options Appraisal</w:t>
      </w:r>
    </w:p>
    <w:p w:rsidR="00DC3E54" w:rsidRDefault="00DC3E54" w:rsidP="007D720E"/>
    <w:p w:rsidR="00DC3E54" w:rsidRDefault="00DC3E54" w:rsidP="00DC3E54">
      <w:pPr>
        <w:pStyle w:val="ListParagraph"/>
        <w:numPr>
          <w:ilvl w:val="0"/>
          <w:numId w:val="11"/>
        </w:numPr>
      </w:pPr>
      <w:r>
        <w:t>Do nothing – not an option as the Council needs a supply of energy to function and deliver its services</w:t>
      </w:r>
      <w:r w:rsidR="005E4EBE">
        <w:t>.</w:t>
      </w:r>
      <w:r w:rsidR="00F70FA9">
        <w:t xml:space="preserve"> If not managed properly and energy contracts are not secured, out of contract “deemed” </w:t>
      </w:r>
      <w:r w:rsidR="004C1ABE">
        <w:t>rates w</w:t>
      </w:r>
      <w:r w:rsidR="00F70FA9">
        <w:t xml:space="preserve">ould be incurred meaning significant </w:t>
      </w:r>
      <w:r w:rsidR="00F70FA9">
        <w:lastRenderedPageBreak/>
        <w:t>increases in energy costs at a time when budgets are getting increasingly constrained.</w:t>
      </w:r>
    </w:p>
    <w:p w:rsidR="005E4EBE" w:rsidRDefault="005E4EBE" w:rsidP="00DC3E54">
      <w:pPr>
        <w:pStyle w:val="ListParagraph"/>
        <w:numPr>
          <w:ilvl w:val="0"/>
          <w:numId w:val="11"/>
        </w:numPr>
      </w:pPr>
      <w:r>
        <w:t>Run a procurement process in-house – this would be a costly exercise that would not necessarily guarantee value for money for the Council. Although</w:t>
      </w:r>
      <w:r w:rsidR="003E79C0">
        <w:t xml:space="preserve"> the Council has a good skills base regarding</w:t>
      </w:r>
      <w:r w:rsidR="009345A0">
        <w:t xml:space="preserve"> energy management, it does not possess the specialist trading knowledge that is essential for operating within the energy market.</w:t>
      </w:r>
      <w:r w:rsidR="00811EF5">
        <w:t xml:space="preserve"> </w:t>
      </w:r>
      <w:r w:rsidR="003D682D">
        <w:t xml:space="preserve">The Council would also not be able to procure energy flexibly itself </w:t>
      </w:r>
      <w:r w:rsidR="004C1ABE">
        <w:t xml:space="preserve">direct from the wholesale market </w:t>
      </w:r>
      <w:r w:rsidR="003D682D">
        <w:t xml:space="preserve">due to </w:t>
      </w:r>
      <w:r w:rsidR="004C1ABE">
        <w:t>its</w:t>
      </w:r>
      <w:r w:rsidR="003D682D">
        <w:t xml:space="preserve"> volumes being </w:t>
      </w:r>
      <w:r w:rsidR="004C1ABE">
        <w:t>too low</w:t>
      </w:r>
      <w:r w:rsidR="003D682D">
        <w:t xml:space="preserve">. </w:t>
      </w:r>
      <w:r w:rsidR="00811EF5">
        <w:t xml:space="preserve">The volumes that the Council will need to purchase would </w:t>
      </w:r>
      <w:r w:rsidR="004C1ABE">
        <w:t xml:space="preserve">also </w:t>
      </w:r>
      <w:r w:rsidR="00811EF5">
        <w:t xml:space="preserve">not be </w:t>
      </w:r>
      <w:r w:rsidR="00F70FA9">
        <w:t xml:space="preserve">as </w:t>
      </w:r>
      <w:r w:rsidR="00811EF5">
        <w:t>attractive as a stand-alone client for energy suppliers</w:t>
      </w:r>
      <w:r w:rsidR="00F70FA9">
        <w:t xml:space="preserve"> compared to aggregating purchase through a third party such as a PBO</w:t>
      </w:r>
      <w:r w:rsidR="004C1ABE">
        <w:t xml:space="preserve"> and using the collective purchasing power to secure the most competitive rates.</w:t>
      </w:r>
    </w:p>
    <w:p w:rsidR="00B3347F" w:rsidRDefault="00E87697" w:rsidP="002B34AA">
      <w:pPr>
        <w:pStyle w:val="ListParagraph"/>
        <w:numPr>
          <w:ilvl w:val="0"/>
          <w:numId w:val="11"/>
        </w:numPr>
        <w:ind w:left="360"/>
      </w:pPr>
      <w:r>
        <w:t xml:space="preserve">Use a </w:t>
      </w:r>
      <w:r w:rsidR="004F6957">
        <w:t>public (professional) buying organisation (PBO)</w:t>
      </w:r>
      <w:r w:rsidR="00942782">
        <w:t xml:space="preserve"> or </w:t>
      </w:r>
      <w:r>
        <w:t xml:space="preserve">third party </w:t>
      </w:r>
      <w:r w:rsidR="001C10D0">
        <w:t xml:space="preserve">intermediary (TPI) </w:t>
      </w:r>
      <w:r>
        <w:t>buying organisation</w:t>
      </w:r>
      <w:r w:rsidR="00C90C8F">
        <w:t xml:space="preserve"> </w:t>
      </w:r>
      <w:r w:rsidR="004F6957">
        <w:t>PBOs</w:t>
      </w:r>
      <w:r w:rsidR="003D682D">
        <w:t>/</w:t>
      </w:r>
      <w:r w:rsidR="004F6957">
        <w:t xml:space="preserve"> </w:t>
      </w:r>
      <w:r w:rsidR="001C10D0">
        <w:t>TPIs act on behalf of a client to purchase its energy and related services</w:t>
      </w:r>
      <w:r w:rsidR="00942782">
        <w:t xml:space="preserve"> for a commission.</w:t>
      </w:r>
      <w:r w:rsidR="001C10D0">
        <w:t xml:space="preserve"> This is a fast and growing area with </w:t>
      </w:r>
      <w:r w:rsidR="004F6957">
        <w:t xml:space="preserve">both not-for-profit public sector focussed </w:t>
      </w:r>
      <w:r w:rsidR="00B3347F">
        <w:t xml:space="preserve">(PBOs) </w:t>
      </w:r>
      <w:r w:rsidR="004F6957">
        <w:t xml:space="preserve">and profit driven private sector </w:t>
      </w:r>
      <w:r w:rsidR="001C10D0">
        <w:t xml:space="preserve">players </w:t>
      </w:r>
      <w:r w:rsidR="004F6957">
        <w:t xml:space="preserve">on </w:t>
      </w:r>
      <w:r w:rsidR="001C10D0">
        <w:t xml:space="preserve">the market. Whilst there are a number of reputable and well-established </w:t>
      </w:r>
      <w:r w:rsidR="004F6957">
        <w:t xml:space="preserve">private sector organisations </w:t>
      </w:r>
      <w:r w:rsidR="001C10D0">
        <w:t xml:space="preserve">available </w:t>
      </w:r>
      <w:r w:rsidR="004F6957">
        <w:t xml:space="preserve">for hire </w:t>
      </w:r>
      <w:r w:rsidR="001C10D0">
        <w:t xml:space="preserve">with </w:t>
      </w:r>
      <w:r w:rsidR="007F56A5">
        <w:t>some of these organisations do not procure energy under the Public Contract Regulations 2015</w:t>
      </w:r>
      <w:r w:rsidR="005E4EBE">
        <w:t xml:space="preserve">. </w:t>
      </w:r>
      <w:r w:rsidR="00412FFD">
        <w:t xml:space="preserve"> </w:t>
      </w:r>
      <w:r w:rsidR="00B3347F">
        <w:t xml:space="preserve">PBOs present </w:t>
      </w:r>
      <w:proofErr w:type="gramStart"/>
      <w:r w:rsidR="00B3347F">
        <w:t>a  closer</w:t>
      </w:r>
      <w:proofErr w:type="gramEnd"/>
      <w:r w:rsidR="00B3347F">
        <w:t xml:space="preserve"> match to local authority purchasing requirements and it is our opinion - whilst this market is developing (and TPI codes of practice being developed by </w:t>
      </w:r>
      <w:proofErr w:type="spellStart"/>
      <w:r w:rsidR="00B3347F">
        <w:t>Ofgem</w:t>
      </w:r>
      <w:proofErr w:type="spellEnd"/>
      <w:r w:rsidR="00B3347F">
        <w:t>) to remain with a PBO for the next energy purchasing framework period (October 2016 to September 2020).</w:t>
      </w:r>
      <w:r w:rsidR="00F41558">
        <w:t xml:space="preserve"> The developing market and procurement options will continue to be tracked and monitored with a view to future decisions on our approach to Energy (and water) </w:t>
      </w:r>
      <w:proofErr w:type="spellStart"/>
      <w:r w:rsidR="00F41558">
        <w:t>purchasing.</w:t>
      </w:r>
      <w:r w:rsidR="00B3347F">
        <w:t>PBO</w:t>
      </w:r>
      <w:r w:rsidR="003D682D">
        <w:t>s</w:t>
      </w:r>
      <w:proofErr w:type="spellEnd"/>
      <w:r w:rsidR="00B3347F">
        <w:t xml:space="preserve"> offer a fully managed, flexible and risk managed approach to energy purchasing and commonly have dedicated teams, experienced in energy trading that provide a compliant route to market for public sector organisations. </w:t>
      </w:r>
      <w:r w:rsidR="008939E3">
        <w:t xml:space="preserve">There are various </w:t>
      </w:r>
      <w:r w:rsidR="001C10D0">
        <w:t>PBO</w:t>
      </w:r>
      <w:r w:rsidR="00F70FA9">
        <w:t>s</w:t>
      </w:r>
      <w:r w:rsidR="001C10D0">
        <w:t xml:space="preserve"> </w:t>
      </w:r>
      <w:r w:rsidR="00B3347F">
        <w:t>available</w:t>
      </w:r>
      <w:r w:rsidR="008939E3">
        <w:t xml:space="preserve"> to local authorities </w:t>
      </w:r>
      <w:r w:rsidR="003D682D">
        <w:t xml:space="preserve">to procure energy, </w:t>
      </w:r>
      <w:r w:rsidR="00B3347F">
        <w:t>with some of the main PBOs as follows:</w:t>
      </w:r>
    </w:p>
    <w:p w:rsidR="00B3347F" w:rsidRDefault="00B3347F" w:rsidP="002B34AA">
      <w:pPr>
        <w:pStyle w:val="ListParagraph"/>
        <w:numPr>
          <w:ilvl w:val="0"/>
          <w:numId w:val="11"/>
        </w:numPr>
        <w:ind w:left="360"/>
      </w:pPr>
      <w:r>
        <w:t>Crown Commercial Services (CCS)</w:t>
      </w:r>
    </w:p>
    <w:p w:rsidR="00B3347F" w:rsidRDefault="00B3347F" w:rsidP="002B34AA">
      <w:pPr>
        <w:pStyle w:val="ListParagraph"/>
        <w:numPr>
          <w:ilvl w:val="0"/>
          <w:numId w:val="11"/>
        </w:numPr>
        <w:ind w:left="360"/>
      </w:pPr>
      <w:r>
        <w:t>Eastern Shires Purchasing Organisation (ESPO)</w:t>
      </w:r>
    </w:p>
    <w:p w:rsidR="00B3347F" w:rsidRDefault="00B3347F" w:rsidP="002B34AA">
      <w:pPr>
        <w:pStyle w:val="ListParagraph"/>
        <w:numPr>
          <w:ilvl w:val="0"/>
          <w:numId w:val="11"/>
        </w:numPr>
        <w:ind w:left="360"/>
      </w:pPr>
      <w:r>
        <w:t>London and South East Region (LASER)</w:t>
      </w:r>
    </w:p>
    <w:p w:rsidR="00B3347F" w:rsidRDefault="00B3347F" w:rsidP="002B34AA">
      <w:pPr>
        <w:pStyle w:val="ListParagraph"/>
        <w:numPr>
          <w:ilvl w:val="0"/>
          <w:numId w:val="11"/>
        </w:numPr>
        <w:ind w:left="360"/>
      </w:pPr>
      <w:r>
        <w:t>West Mercia Energy (WME)</w:t>
      </w:r>
    </w:p>
    <w:p w:rsidR="00B3347F" w:rsidRDefault="00B3347F" w:rsidP="00413F6A">
      <w:pPr>
        <w:pStyle w:val="ListParagraph"/>
        <w:numPr>
          <w:ilvl w:val="0"/>
          <w:numId w:val="11"/>
        </w:numPr>
        <w:ind w:left="360"/>
      </w:pPr>
      <w:r>
        <w:t>Yorkshire Procurement Organisation (YPO)</w:t>
      </w:r>
    </w:p>
    <w:p w:rsidR="005E4EBE" w:rsidRDefault="00B3347F" w:rsidP="00413F6A">
      <w:pPr>
        <w:pStyle w:val="ListParagraph"/>
        <w:numPr>
          <w:ilvl w:val="0"/>
          <w:numId w:val="11"/>
        </w:numPr>
        <w:ind w:left="360"/>
      </w:pPr>
      <w:r>
        <w:t xml:space="preserve">It is very difficult to back-test performance of the various PBOs to gauge what energy costs may have been (compared to OCC’s use of </w:t>
      </w:r>
      <w:r w:rsidR="00D75A77">
        <w:t xml:space="preserve">existing provider - </w:t>
      </w:r>
      <w:r>
        <w:t xml:space="preserve">LASER) given the fact that energy purchasing is happening in a dynamic way on a daily basis that informs the final price secured for a set purchasing period. </w:t>
      </w:r>
      <w:r w:rsidR="003D682D">
        <w:t xml:space="preserve"> The offerings available from the various PBOs are </w:t>
      </w:r>
      <w:r w:rsidR="00D75A77">
        <w:t xml:space="preserve">generally </w:t>
      </w:r>
      <w:r w:rsidR="003D682D">
        <w:t xml:space="preserve">similar with some offering more flexibility and range of options than others. For this appraisal process </w:t>
      </w:r>
      <w:r w:rsidR="00F70FA9">
        <w:t xml:space="preserve">and given the similar levels of service on offer from the various </w:t>
      </w:r>
      <w:proofErr w:type="gramStart"/>
      <w:r w:rsidR="00F70FA9">
        <w:t>PBOs ,</w:t>
      </w:r>
      <w:proofErr w:type="gramEnd"/>
      <w:r w:rsidR="00F70FA9">
        <w:t xml:space="preserve"> it was decided to focus on </w:t>
      </w:r>
      <w:r w:rsidR="003D682D">
        <w:t xml:space="preserve">two major PBOs based on existing experience of use of </w:t>
      </w:r>
      <w:r w:rsidR="00F70FA9">
        <w:t xml:space="preserve">their </w:t>
      </w:r>
      <w:r w:rsidR="003D682D">
        <w:t>services. LASER, employed successfully by OCC for the last 3 framework periods (also used by Oxfordshire County Council and other authorities in Oxfordshire – such as Cherwell District Counc</w:t>
      </w:r>
      <w:r w:rsidR="00413F6A">
        <w:t>i</w:t>
      </w:r>
      <w:r w:rsidR="003D682D">
        <w:t>l and West Oxon District Council) and WME – employed by Cotswold Borough Council , Forest of Dean Council and Gloucester City and County Councils</w:t>
      </w:r>
      <w:r w:rsidR="008939E3">
        <w:t>:</w:t>
      </w:r>
    </w:p>
    <w:p w:rsidR="00371AD9" w:rsidRDefault="00371AD9" w:rsidP="00371AD9">
      <w:pPr>
        <w:pStyle w:val="ListParagraph"/>
      </w:pPr>
    </w:p>
    <w:p w:rsidR="00371AD9" w:rsidRDefault="00371AD9" w:rsidP="008939E3">
      <w:pPr>
        <w:pStyle w:val="ListParagraph"/>
      </w:pPr>
    </w:p>
    <w:p w:rsidR="009C6816" w:rsidRDefault="00DC29F6" w:rsidP="00CB3418">
      <w:pPr>
        <w:pStyle w:val="ListParagraph"/>
      </w:pPr>
      <w:r>
        <w:lastRenderedPageBreak/>
        <w:t xml:space="preserve">West Mercia Energy </w:t>
      </w:r>
      <w:r w:rsidR="00371AD9">
        <w:t xml:space="preserve">(WME) </w:t>
      </w:r>
      <w:r w:rsidR="00F70FA9">
        <w:t xml:space="preserve">is a </w:t>
      </w:r>
      <w:r w:rsidR="006B3074">
        <w:t xml:space="preserve">PBO </w:t>
      </w:r>
      <w:r w:rsidR="001E4A66">
        <w:t>owned by 4 local authorities.</w:t>
      </w:r>
      <w:r w:rsidR="000270F5">
        <w:t xml:space="preserve"> </w:t>
      </w:r>
      <w:r w:rsidR="002A7D62">
        <w:t xml:space="preserve">They currently manage energy contracts for 11 local authorities and deliver energy to </w:t>
      </w:r>
      <w:r w:rsidR="00CB3418">
        <w:t xml:space="preserve">approximately 1,700 schools.  WME has a team of 13. </w:t>
      </w:r>
      <w:r w:rsidR="000270F5">
        <w:t>This framework offers fully flexible purchasing, with the ability to trade ahead of and within financial year.</w:t>
      </w:r>
      <w:r w:rsidR="001E4A66">
        <w:t xml:space="preserve"> </w:t>
      </w:r>
      <w:r w:rsidR="00D75A77">
        <w:t>WME</w:t>
      </w:r>
      <w:r w:rsidR="001E4A66">
        <w:t xml:space="preserve"> offers a capped price in line with the financial year, which gives 12 months budget certainty</w:t>
      </w:r>
      <w:r w:rsidR="00371AD9">
        <w:t xml:space="preserve">. </w:t>
      </w:r>
      <w:r w:rsidR="00120228">
        <w:t xml:space="preserve">In March of each year </w:t>
      </w:r>
      <w:r w:rsidR="00371AD9">
        <w:t>WME</w:t>
      </w:r>
      <w:r w:rsidR="00120228">
        <w:t xml:space="preserve"> communicate the capped energy price for the forthcoming financial year, which is the maximum that a customer will pay</w:t>
      </w:r>
      <w:r w:rsidR="00EA157E">
        <w:t>.</w:t>
      </w:r>
      <w:r w:rsidR="00120228">
        <w:t xml:space="preserve"> If wholesale prices increase there is no </w:t>
      </w:r>
      <w:r w:rsidR="00D071D3">
        <w:t>reconciliation resulting in further charges to be paid. The capped price is then reviewed in August and December to determine if any discounts off the cap can be given.</w:t>
      </w:r>
      <w:r w:rsidR="002A7D62">
        <w:t xml:space="preserve"> </w:t>
      </w:r>
    </w:p>
    <w:p w:rsidR="00DC29F6" w:rsidRDefault="00D071D3" w:rsidP="008939E3">
      <w:pPr>
        <w:pStyle w:val="ListParagraph"/>
      </w:pPr>
      <w:r>
        <w:t>The performance of WME</w:t>
      </w:r>
      <w:r w:rsidR="00C168C3">
        <w:t xml:space="preserve"> has been positive</w:t>
      </w:r>
      <w:r w:rsidR="00813F17">
        <w:t xml:space="preserve"> and the predicted fund for the 4 lo</w:t>
      </w:r>
      <w:r w:rsidR="00820136">
        <w:t>cal authorities (Gloucester County Council</w:t>
      </w:r>
      <w:r w:rsidR="00813F17">
        <w:t>, Tewkesbury Bo</w:t>
      </w:r>
      <w:r w:rsidR="00820136">
        <w:t xml:space="preserve">rough Council, Forest of Dean District Council and Cotswold District Council) </w:t>
      </w:r>
      <w:r w:rsidR="00813F17">
        <w:t>held at 31</w:t>
      </w:r>
      <w:r w:rsidR="00813F17" w:rsidRPr="00813F17">
        <w:rPr>
          <w:vertAlign w:val="superscript"/>
        </w:rPr>
        <w:t>st</w:t>
      </w:r>
      <w:r w:rsidR="00813F17">
        <w:t xml:space="preserve"> March 2016 is £69,425</w:t>
      </w:r>
      <w:r w:rsidR="004B0E3B">
        <w:t xml:space="preserve"> </w:t>
      </w:r>
      <w:r w:rsidR="00FC491C">
        <w:t xml:space="preserve">This PBO </w:t>
      </w:r>
      <w:r w:rsidR="006B3074">
        <w:t xml:space="preserve">is </w:t>
      </w:r>
      <w:r w:rsidR="00FC491C">
        <w:t xml:space="preserve">also </w:t>
      </w:r>
      <w:r w:rsidR="006B3074">
        <w:t xml:space="preserve">developing </w:t>
      </w:r>
      <w:r w:rsidR="00FC491C">
        <w:t xml:space="preserve"> energy management </w:t>
      </w:r>
      <w:r w:rsidR="006B3074">
        <w:t xml:space="preserve">services </w:t>
      </w:r>
      <w:r w:rsidR="00FC491C">
        <w:t>as part of their package</w:t>
      </w:r>
      <w:r w:rsidR="00820136">
        <w:t xml:space="preserve">d </w:t>
      </w:r>
      <w:r w:rsidR="00FC491C">
        <w:t>service.</w:t>
      </w:r>
      <w:r w:rsidR="006B3074">
        <w:t xml:space="preserve"> WME offer a fully managed procurement service only meaning that energy bills are validated and processed by WME prior to passing on to the customer for payment. Fully managed services come at a </w:t>
      </w:r>
      <w:r w:rsidR="00F70FA9">
        <w:t xml:space="preserve">higher commission to the PBO </w:t>
      </w:r>
      <w:r w:rsidR="006B3074">
        <w:t>compared to procurement only services.</w:t>
      </w:r>
    </w:p>
    <w:p w:rsidR="00371AD9" w:rsidRDefault="00371AD9" w:rsidP="008939E3">
      <w:pPr>
        <w:pStyle w:val="ListParagraph"/>
      </w:pPr>
    </w:p>
    <w:p w:rsidR="00EA157E" w:rsidRDefault="00EA157E" w:rsidP="008939E3">
      <w:pPr>
        <w:pStyle w:val="ListParagraph"/>
      </w:pPr>
      <w:r>
        <w:t xml:space="preserve">LASER </w:t>
      </w:r>
      <w:r w:rsidR="00FC491C">
        <w:t>established in 1989</w:t>
      </w:r>
      <w:r w:rsidR="00751FAE">
        <w:t>,</w:t>
      </w:r>
      <w:r w:rsidR="005A2B53">
        <w:t xml:space="preserve"> has been managing public sector energy procurement for 25 years and it launched its first Flexible Procurement framework in 2008</w:t>
      </w:r>
      <w:r w:rsidR="009C6816">
        <w:t>. LASER is currently purchasing energy for over 150 customers with an aggregated spend of £450million per annum.</w:t>
      </w:r>
      <w:r w:rsidR="008A44CE">
        <w:t xml:space="preserve"> This PBO has a team of over 70 energy specialists working across the various teams.</w:t>
      </w:r>
      <w:r w:rsidR="00E11431">
        <w:t xml:space="preserve"> The various options on offer can be taken as “procurement only”. </w:t>
      </w:r>
      <w:r>
        <w:t xml:space="preserve"> </w:t>
      </w:r>
      <w:r w:rsidR="00A94517">
        <w:t>LASER now offers a range of framework op</w:t>
      </w:r>
      <w:r w:rsidR="006134EF">
        <w:t xml:space="preserve">tions </w:t>
      </w:r>
      <w:r w:rsidR="00D75A77">
        <w:t>including:</w:t>
      </w:r>
      <w:r w:rsidR="001C27DD">
        <w:t xml:space="preserve"> </w:t>
      </w:r>
    </w:p>
    <w:p w:rsidR="001C27DD" w:rsidRDefault="001C27DD" w:rsidP="008939E3">
      <w:pPr>
        <w:pStyle w:val="ListParagraph"/>
      </w:pPr>
      <w:r>
        <w:t>Fixed price, fixed term – where prices are agreed on a single day prior to the start of the contract. Prices can be fixed for, typically, up to 3 years. This can result in large variations in costs between contracts depending on the prevailing market prices.</w:t>
      </w:r>
    </w:p>
    <w:p w:rsidR="001C27DD" w:rsidRDefault="001C27DD" w:rsidP="008939E3">
      <w:pPr>
        <w:pStyle w:val="ListParagraph"/>
      </w:pPr>
      <w:r>
        <w:t>Flexible purchase in advance</w:t>
      </w:r>
      <w:r w:rsidR="00B2691C">
        <w:t xml:space="preserve"> (the option that the Council is currently using)</w:t>
      </w:r>
      <w:r>
        <w:t xml:space="preserve"> - </w:t>
      </w:r>
      <w:r w:rsidR="00F854CB">
        <w:t>all purchases are concluded prior to the supply period (1</w:t>
      </w:r>
      <w:r w:rsidR="00F854CB" w:rsidRPr="00B96A36">
        <w:rPr>
          <w:vertAlign w:val="superscript"/>
        </w:rPr>
        <w:t>st</w:t>
      </w:r>
      <w:r w:rsidR="00F854CB">
        <w:t xml:space="preserve"> October to 30th September)</w:t>
      </w:r>
      <w:r w:rsidR="00D75A77">
        <w:t>. Energy is purchased from the wholesale market several months in advance of the contract start date for each year (1</w:t>
      </w:r>
      <w:r w:rsidR="00D75A77" w:rsidRPr="00413F6A">
        <w:rPr>
          <w:vertAlign w:val="superscript"/>
        </w:rPr>
        <w:t>st</w:t>
      </w:r>
      <w:r w:rsidR="00D75A77">
        <w:t xml:space="preserve"> Oct) over a prolonged period (rather than on one day only) to spread and balance the risk</w:t>
      </w:r>
      <w:r w:rsidR="00F854CB">
        <w:t xml:space="preserve"> so that the price for the supply period is known by the start of the supply period</w:t>
      </w:r>
    </w:p>
    <w:p w:rsidR="008A44CE" w:rsidRDefault="00F854CB" w:rsidP="008A44CE">
      <w:pPr>
        <w:ind w:left="720"/>
      </w:pPr>
      <w:r>
        <w:t xml:space="preserve">Flexible purchase within </w:t>
      </w:r>
      <w:proofErr w:type="gramStart"/>
      <w:r>
        <w:t>period</w:t>
      </w:r>
      <w:r w:rsidR="00812199">
        <w:t xml:space="preserve"> </w:t>
      </w:r>
      <w:r>
        <w:t xml:space="preserve"> -</w:t>
      </w:r>
      <w:proofErr w:type="gramEnd"/>
      <w:r>
        <w:t xml:space="preserve"> </w:t>
      </w:r>
      <w:r w:rsidR="00D75A77">
        <w:t>this is similar to PIA with energy being purchased ahead of contract start date but a proportion of purchases are also</w:t>
      </w:r>
      <w:r w:rsidR="008A44CE">
        <w:t xml:space="preserve"> completed within the supply period.  Generally, this is a more risky strategy but can result in better prices overall.  In such an arrangement, a target price is established for invoicing purposes and this is reconciled against actual prices either after each billing period or at the end of the supply period (usually one year). In each case, various control mechanisms are put in place, e.g. high and low price trigger points which are set to influence purchasing decisions; however any individual decision to purchase is not automatic but requires the agreement of two or more professional buyers employed by the PBO.</w:t>
      </w:r>
    </w:p>
    <w:p w:rsidR="00812199" w:rsidRDefault="00812199" w:rsidP="008A44CE">
      <w:pPr>
        <w:ind w:left="720"/>
      </w:pPr>
      <w:r>
        <w:t xml:space="preserve">LASER </w:t>
      </w:r>
      <w:r w:rsidR="00153B41">
        <w:t>has also intr</w:t>
      </w:r>
      <w:r w:rsidR="00252F3D">
        <w:t>oduced some n</w:t>
      </w:r>
      <w:r w:rsidR="00153B41">
        <w:t>ew procurement baskets:</w:t>
      </w:r>
    </w:p>
    <w:p w:rsidR="00153B41" w:rsidRDefault="00153B41" w:rsidP="008A44CE">
      <w:pPr>
        <w:ind w:left="720"/>
      </w:pPr>
      <w:r>
        <w:t xml:space="preserve">Flexible purchase day ahead – a fixed volume is purchased prior to delivery, with the remaining volume left to “float” on day </w:t>
      </w:r>
      <w:proofErr w:type="gramStart"/>
      <w:r>
        <w:t>ahead</w:t>
      </w:r>
      <w:proofErr w:type="gramEnd"/>
      <w:r>
        <w:t xml:space="preserve"> index. This operates on a </w:t>
      </w:r>
      <w:r>
        <w:lastRenderedPageBreak/>
        <w:t>6 month supply period</w:t>
      </w:r>
      <w:r w:rsidR="00F71B4C">
        <w:t>. A reference price is set at the beginning of the supply period with a reconciliation carried out. This option will be attractive to those customers who are able to manage their load.</w:t>
      </w:r>
    </w:p>
    <w:p w:rsidR="00252F3D" w:rsidRDefault="00F71B4C" w:rsidP="009501F2">
      <w:pPr>
        <w:ind w:left="720"/>
      </w:pPr>
      <w:r>
        <w:t>Flexible set and reset– purchases are made</w:t>
      </w:r>
      <w:r w:rsidR="00D81AB2">
        <w:t xml:space="preserve"> in advance and within the supply period. They are determined on price triggers and based on either a 6 or 12 month supply period. If the triggers hit, then the resale of completed energy purchase is permitted. There is a subsequent buy back mechanism in place if this happens.</w:t>
      </w:r>
      <w:r w:rsidR="00956A86">
        <w:t xml:space="preserve"> The reference price is set at the beginning of the supply period with a reconciliation carried out. Recent analysis of this option indicates that it has been performing, on average, 10% better than the current market. </w:t>
      </w:r>
    </w:p>
    <w:p w:rsidR="00252F3D" w:rsidRDefault="00252F3D" w:rsidP="008A44CE">
      <w:pPr>
        <w:ind w:left="720"/>
      </w:pPr>
      <w:r>
        <w:t>Flexible mechanistic purchasing (FMP) – all volume is purchased prior to delivery in equally sized blocks once a month. Purchasing takes place over a 24 month period</w:t>
      </w:r>
      <w:r w:rsidR="009501F2">
        <w:t xml:space="preserve"> and is for a supply period of 12 months. The price will generally be reflective of the average market price. Having discussed this, it is thought that this option is not really attractive as customers will generally want to better this pricing.</w:t>
      </w:r>
    </w:p>
    <w:p w:rsidR="00F854CB" w:rsidRDefault="009501F2" w:rsidP="008939E3">
      <w:pPr>
        <w:pStyle w:val="ListParagraph"/>
      </w:pPr>
      <w:r>
        <w:t>And finally;</w:t>
      </w:r>
    </w:p>
    <w:p w:rsidR="009501F2" w:rsidRDefault="009501F2" w:rsidP="008939E3">
      <w:pPr>
        <w:pStyle w:val="ListParagraph"/>
      </w:pPr>
      <w:r>
        <w:t>Flexible forward lockout – this is where the total volume is purchased 6 months prior to delivery</w:t>
      </w:r>
      <w:r w:rsidR="007206EE">
        <w:t>. Pass through charges (where things like transmission and distribution network charge increases are passed through to the customer) can be agreed and it is based on a 12 month supply period.</w:t>
      </w:r>
      <w:r w:rsidR="00915DA4">
        <w:t xml:space="preserve"> Sum of all trades is used to calculate the energy price (this is how the power indices are calculated) </w:t>
      </w:r>
      <w:proofErr w:type="gramStart"/>
      <w:r w:rsidR="00915DA4">
        <w:t>The</w:t>
      </w:r>
      <w:proofErr w:type="gramEnd"/>
      <w:r w:rsidR="00915DA4">
        <w:t xml:space="preserve"> advantage of this option is that the customer gets to know their prices early, but will inevitably miss out on </w:t>
      </w:r>
      <w:r w:rsidR="009E1212">
        <w:t>some months buying.</w:t>
      </w:r>
    </w:p>
    <w:p w:rsidR="009E1212" w:rsidRDefault="009E1212" w:rsidP="008939E3">
      <w:pPr>
        <w:pStyle w:val="ListParagraph"/>
      </w:pPr>
      <w:r>
        <w:t>It is worth noting that the new options offered by LASER will only be offered if there is sufficient take up by customers.</w:t>
      </w:r>
    </w:p>
    <w:p w:rsidR="00C706C6" w:rsidRDefault="00C706C6" w:rsidP="008939E3">
      <w:pPr>
        <w:pStyle w:val="ListParagraph"/>
      </w:pPr>
    </w:p>
    <w:p w:rsidR="00C706C6" w:rsidRDefault="00C706C6" w:rsidP="008939E3">
      <w:pPr>
        <w:pStyle w:val="ListParagraph"/>
      </w:pPr>
      <w:r>
        <w:rPr>
          <w:u w:val="single"/>
        </w:rPr>
        <w:t>Recommendation</w:t>
      </w:r>
    </w:p>
    <w:p w:rsidR="00C706C6" w:rsidRDefault="00C706C6" w:rsidP="008939E3">
      <w:pPr>
        <w:pStyle w:val="ListParagraph"/>
      </w:pPr>
    </w:p>
    <w:p w:rsidR="00F047B0" w:rsidRDefault="00F047B0" w:rsidP="008939E3">
      <w:pPr>
        <w:pStyle w:val="ListParagraph"/>
      </w:pPr>
      <w:r>
        <w:t>Following early conversations with f</w:t>
      </w:r>
      <w:r w:rsidR="00CE7EC5">
        <w:t xml:space="preserve">ramework suppliers regarding any leverage that could be achieved by the Councils joining in a collaborative procurement process </w:t>
      </w:r>
      <w:r w:rsidR="00F70FA9">
        <w:t xml:space="preserve">it was established that there was no further benefit to each organisation than if they approached the PBOs individually. Given prior experiences with LASER and WME and similar services on offer from other PBOs it was decided to focus on LASER and WME </w:t>
      </w:r>
      <w:r w:rsidR="006B3074">
        <w:t>for further assessment</w:t>
      </w:r>
      <w:r w:rsidR="008122D2">
        <w:t>.</w:t>
      </w:r>
      <w:r w:rsidR="006B3074">
        <w:t xml:space="preserve"> </w:t>
      </w:r>
      <w:r w:rsidR="00F70FA9">
        <w:t>R</w:t>
      </w:r>
      <w:r w:rsidR="008A4E11">
        <w:t xml:space="preserve">epresentatives from Oxford City Council, West Oxfordshire District Council and Cheltenham Borough Council were involved in a supplier question and answer session in order to establish which framework </w:t>
      </w:r>
      <w:r>
        <w:t xml:space="preserve">would be the best </w:t>
      </w:r>
      <w:r w:rsidR="00F70FA9">
        <w:t xml:space="preserve">suited </w:t>
      </w:r>
      <w:r>
        <w:t>for each authority</w:t>
      </w:r>
      <w:r w:rsidR="00DE3C3D">
        <w:t>. West Oxfordshire District Council and Cheltenham Borough Council want to eventually achieve a one contract energy supply situation for GO Shared Services (WME already supply Forest of Dean</w:t>
      </w:r>
      <w:r w:rsidR="00EF5001">
        <w:t xml:space="preserve"> and Cotswold District Councils) and their volumes are much lower than Oxford City Council, therefore they will be recommending to their Cabinets the WME model.</w:t>
      </w:r>
    </w:p>
    <w:p w:rsidR="00EF5001" w:rsidRDefault="00EF5001" w:rsidP="008939E3">
      <w:pPr>
        <w:pStyle w:val="ListParagraph"/>
      </w:pPr>
      <w:r>
        <w:t xml:space="preserve">Although impressed with the </w:t>
      </w:r>
      <w:r w:rsidR="00A334C3">
        <w:t>WME set up, and in consultation with Paul Spencer, I am recommending continuation of use for the LASER framework</w:t>
      </w:r>
      <w:r w:rsidR="006B3074">
        <w:t xml:space="preserve"> given LASERs good track record of delivery for OCC (returning </w:t>
      </w:r>
      <w:r w:rsidR="00ED42D8">
        <w:t xml:space="preserve">consistent </w:t>
      </w:r>
      <w:r w:rsidR="006B3074">
        <w:t>prices below the average market prices)</w:t>
      </w:r>
      <w:r w:rsidR="00F70FA9">
        <w:t xml:space="preserve">, range of purchasing options </w:t>
      </w:r>
      <w:r w:rsidR="00ED42D8">
        <w:t xml:space="preserve">(including free smart metering installation and Renewable energy options) </w:t>
      </w:r>
      <w:r w:rsidR="00F70FA9">
        <w:t xml:space="preserve">and the fact that energy can be purchased as a procurement only option (more appropriate to OCCs developed internal expertise in this area reducing the </w:t>
      </w:r>
      <w:r w:rsidR="00777533">
        <w:t xml:space="preserve">costs </w:t>
      </w:r>
      <w:r w:rsidR="00F70FA9">
        <w:t>further</w:t>
      </w:r>
      <w:r w:rsidR="00777533">
        <w:t xml:space="preserve"> as </w:t>
      </w:r>
      <w:r w:rsidR="00777533">
        <w:lastRenderedPageBreak/>
        <w:t xml:space="preserve">validation is being carried out in house – </w:t>
      </w:r>
      <w:proofErr w:type="spellStart"/>
      <w:r w:rsidR="00777533">
        <w:t>eg</w:t>
      </w:r>
      <w:proofErr w:type="spellEnd"/>
      <w:r w:rsidR="00777533">
        <w:t xml:space="preserve"> c</w:t>
      </w:r>
      <w:r w:rsidR="00E42ED9">
        <w:t>irc</w:t>
      </w:r>
      <w:r w:rsidR="00777533">
        <w:t xml:space="preserve">a £94k worth of savings </w:t>
      </w:r>
      <w:r w:rsidR="00E42ED9">
        <w:t xml:space="preserve">has been </w:t>
      </w:r>
      <w:r w:rsidR="00777533">
        <w:t>identified from OCCs in</w:t>
      </w:r>
      <w:r w:rsidR="00E42ED9">
        <w:t>-</w:t>
      </w:r>
      <w:r w:rsidR="00777533">
        <w:t>house validation efforts from April 2015 to date this year</w:t>
      </w:r>
      <w:r w:rsidR="00A334C3">
        <w:t>.</w:t>
      </w:r>
      <w:r w:rsidR="00A97186">
        <w:t xml:space="preserve"> The procurement only option allows the Council to use its own Bureau services for bill validation and other energy management services and not pay for a service that it will never use. </w:t>
      </w:r>
    </w:p>
    <w:p w:rsidR="00C706C6" w:rsidRPr="00C706C6" w:rsidRDefault="00453759" w:rsidP="008939E3">
      <w:pPr>
        <w:pStyle w:val="ListParagraph"/>
      </w:pPr>
      <w:r w:rsidRPr="00BC3EFD">
        <w:rPr>
          <w:highlight w:val="yellow"/>
        </w:rPr>
        <w:t xml:space="preserve">The decision over which </w:t>
      </w:r>
      <w:r w:rsidR="00777533" w:rsidRPr="00BC3EFD">
        <w:rPr>
          <w:highlight w:val="yellow"/>
        </w:rPr>
        <w:t xml:space="preserve">specific </w:t>
      </w:r>
      <w:r w:rsidRPr="00BC3EFD">
        <w:rPr>
          <w:highlight w:val="yellow"/>
        </w:rPr>
        <w:t xml:space="preserve">purchasing </w:t>
      </w:r>
      <w:r w:rsidR="00777533" w:rsidRPr="00BC3EFD">
        <w:rPr>
          <w:highlight w:val="yellow"/>
        </w:rPr>
        <w:t xml:space="preserve">basket </w:t>
      </w:r>
      <w:r w:rsidRPr="00BC3EFD">
        <w:rPr>
          <w:highlight w:val="yellow"/>
        </w:rPr>
        <w:t>option to use has to be taken in consultation with</w:t>
      </w:r>
      <w:r w:rsidR="00403D49" w:rsidRPr="00BC3EFD">
        <w:rPr>
          <w:highlight w:val="yellow"/>
        </w:rPr>
        <w:t xml:space="preserve"> the</w:t>
      </w:r>
      <w:r w:rsidRPr="00BC3EFD">
        <w:rPr>
          <w:highlight w:val="yellow"/>
        </w:rPr>
        <w:t xml:space="preserve"> Head of Finance</w:t>
      </w:r>
      <w:r w:rsidR="003F65B8" w:rsidRPr="00BC3EFD">
        <w:rPr>
          <w:highlight w:val="yellow"/>
        </w:rPr>
        <w:t xml:space="preserve">. </w:t>
      </w:r>
      <w:r w:rsidR="00777533" w:rsidRPr="00BC3EFD">
        <w:rPr>
          <w:highlight w:val="yellow"/>
        </w:rPr>
        <w:t xml:space="preserve">The recommendation is to </w:t>
      </w:r>
      <w:r w:rsidR="006B3074" w:rsidRPr="00BC3EFD">
        <w:rPr>
          <w:highlight w:val="yellow"/>
        </w:rPr>
        <w:t xml:space="preserve">continue to </w:t>
      </w:r>
      <w:r w:rsidR="003F65B8" w:rsidRPr="00BC3EFD">
        <w:rPr>
          <w:highlight w:val="yellow"/>
        </w:rPr>
        <w:t xml:space="preserve">place the larger sites under the “purchase in advance” option </w:t>
      </w:r>
      <w:r w:rsidR="006B3074" w:rsidRPr="00BC3EFD">
        <w:rPr>
          <w:highlight w:val="yellow"/>
        </w:rPr>
        <w:t xml:space="preserve">(with potentially some of the heaviest users under </w:t>
      </w:r>
      <w:r w:rsidR="003F65B8" w:rsidRPr="00BC3EFD">
        <w:rPr>
          <w:highlight w:val="yellow"/>
        </w:rPr>
        <w:t xml:space="preserve">the flex &amp; reset </w:t>
      </w:r>
      <w:r w:rsidR="00ED42D8" w:rsidRPr="00BC3EFD">
        <w:rPr>
          <w:highlight w:val="yellow"/>
        </w:rPr>
        <w:t>or Purchase within Period baskets</w:t>
      </w:r>
      <w:r w:rsidR="00777533" w:rsidRPr="00BC3EFD">
        <w:rPr>
          <w:highlight w:val="yellow"/>
        </w:rPr>
        <w:t>)</w:t>
      </w:r>
      <w:r w:rsidR="003F65B8" w:rsidRPr="00BC3EFD">
        <w:rPr>
          <w:highlight w:val="yellow"/>
        </w:rPr>
        <w:t>.</w:t>
      </w:r>
      <w:r w:rsidR="006B3074" w:rsidRPr="00BC3EFD">
        <w:rPr>
          <w:highlight w:val="yellow"/>
        </w:rPr>
        <w:t xml:space="preserve"> For quarterly billed, smaller consuming sites fixed term fixed price contracts remain the most appropriate purchasing option given the smaller volumes of consumption </w:t>
      </w:r>
      <w:r w:rsidR="00777533" w:rsidRPr="00BC3EFD">
        <w:rPr>
          <w:highlight w:val="yellow"/>
        </w:rPr>
        <w:t>and lower price risk involved</w:t>
      </w:r>
      <w:r w:rsidR="006B3074" w:rsidRPr="00BC3EFD">
        <w:rPr>
          <w:highlight w:val="yellow"/>
        </w:rPr>
        <w:t>.</w:t>
      </w:r>
      <w:bookmarkStart w:id="0" w:name="_GoBack"/>
      <w:bookmarkEnd w:id="0"/>
    </w:p>
    <w:p w:rsidR="00371AD9" w:rsidRDefault="00371AD9" w:rsidP="008939E3">
      <w:pPr>
        <w:pStyle w:val="ListParagraph"/>
      </w:pPr>
    </w:p>
    <w:p w:rsidR="00371AD9" w:rsidRPr="00DC3E54" w:rsidRDefault="00371AD9" w:rsidP="008939E3">
      <w:pPr>
        <w:pStyle w:val="ListParagraph"/>
      </w:pPr>
    </w:p>
    <w:p w:rsidR="00AC33D0" w:rsidRDefault="00F03377" w:rsidP="009B3105">
      <w:pPr>
        <w:pStyle w:val="ListParagraph"/>
        <w:numPr>
          <w:ilvl w:val="1"/>
          <w:numId w:val="1"/>
        </w:numPr>
      </w:pPr>
      <w:r>
        <w:t>Governance and Stakeholders</w:t>
      </w:r>
      <w:r w:rsidR="00286213">
        <w:t>.</w:t>
      </w:r>
    </w:p>
    <w:tbl>
      <w:tblPr>
        <w:tblStyle w:val="TableGrid"/>
        <w:tblW w:w="9606" w:type="dxa"/>
        <w:tblLook w:val="04A0" w:firstRow="1" w:lastRow="0" w:firstColumn="1" w:lastColumn="0" w:noHBand="0" w:noVBand="1"/>
      </w:tblPr>
      <w:tblGrid>
        <w:gridCol w:w="4621"/>
        <w:gridCol w:w="4985"/>
      </w:tblGrid>
      <w:tr w:rsidR="00F03377" w:rsidTr="003A1427">
        <w:tc>
          <w:tcPr>
            <w:tcW w:w="4621" w:type="dxa"/>
            <w:shd w:val="clear" w:color="auto" w:fill="E7F6FF"/>
          </w:tcPr>
          <w:p w:rsidR="00F03377" w:rsidRDefault="00F03377" w:rsidP="00F03377">
            <w:pPr>
              <w:pStyle w:val="ListParagraph"/>
              <w:ind w:left="0"/>
            </w:pPr>
            <w:r>
              <w:t>Responsible Corporate Programme Board</w:t>
            </w:r>
          </w:p>
        </w:tc>
        <w:tc>
          <w:tcPr>
            <w:tcW w:w="4985" w:type="dxa"/>
          </w:tcPr>
          <w:p w:rsidR="00F03377" w:rsidRDefault="00F03377" w:rsidP="00F03377">
            <w:pPr>
              <w:pStyle w:val="ListParagraph"/>
              <w:ind w:left="0"/>
            </w:pPr>
          </w:p>
        </w:tc>
      </w:tr>
      <w:tr w:rsidR="00F03377" w:rsidTr="003A1427">
        <w:tc>
          <w:tcPr>
            <w:tcW w:w="4621" w:type="dxa"/>
            <w:shd w:val="clear" w:color="auto" w:fill="E7F6FF"/>
          </w:tcPr>
          <w:p w:rsidR="00F03377" w:rsidRDefault="00F03377" w:rsidP="00F03377">
            <w:pPr>
              <w:pStyle w:val="ListParagraph"/>
              <w:ind w:left="0"/>
            </w:pPr>
            <w:r>
              <w:t>Sponsor</w:t>
            </w:r>
          </w:p>
        </w:tc>
        <w:tc>
          <w:tcPr>
            <w:tcW w:w="4985" w:type="dxa"/>
          </w:tcPr>
          <w:p w:rsidR="00F03377" w:rsidRPr="002F5F44" w:rsidRDefault="002F5F44" w:rsidP="00F03377">
            <w:pPr>
              <w:pStyle w:val="ListParagraph"/>
              <w:ind w:left="0"/>
            </w:pPr>
            <w:r>
              <w:t>Jo Colwell</w:t>
            </w:r>
          </w:p>
        </w:tc>
      </w:tr>
      <w:tr w:rsidR="00F03377" w:rsidTr="003A1427">
        <w:tc>
          <w:tcPr>
            <w:tcW w:w="4621" w:type="dxa"/>
            <w:shd w:val="clear" w:color="auto" w:fill="E7F6FF"/>
          </w:tcPr>
          <w:p w:rsidR="00F03377" w:rsidRDefault="00F03377" w:rsidP="00F03377">
            <w:pPr>
              <w:pStyle w:val="ListParagraph"/>
              <w:ind w:left="0"/>
            </w:pPr>
            <w:r>
              <w:t>Head of Service (if different to Sponsor)</w:t>
            </w:r>
          </w:p>
        </w:tc>
        <w:tc>
          <w:tcPr>
            <w:tcW w:w="4985" w:type="dxa"/>
          </w:tcPr>
          <w:p w:rsidR="00F03377" w:rsidRPr="002F5F44" w:rsidRDefault="002F5F44" w:rsidP="00F03377">
            <w:pPr>
              <w:pStyle w:val="ListParagraph"/>
              <w:ind w:left="0"/>
            </w:pPr>
            <w:r w:rsidRPr="002F5F44">
              <w:t>Nigel Kennedy</w:t>
            </w:r>
          </w:p>
        </w:tc>
      </w:tr>
      <w:tr w:rsidR="00F03377" w:rsidTr="003A1427">
        <w:tc>
          <w:tcPr>
            <w:tcW w:w="4621" w:type="dxa"/>
            <w:shd w:val="clear" w:color="auto" w:fill="E7F6FF"/>
          </w:tcPr>
          <w:p w:rsidR="00F03377" w:rsidRDefault="00F03377" w:rsidP="00F03377">
            <w:pPr>
              <w:pStyle w:val="ListParagraph"/>
              <w:ind w:left="0"/>
            </w:pPr>
            <w:r>
              <w:t>Project Manager</w:t>
            </w:r>
          </w:p>
        </w:tc>
        <w:tc>
          <w:tcPr>
            <w:tcW w:w="4985" w:type="dxa"/>
          </w:tcPr>
          <w:p w:rsidR="00F03377" w:rsidRDefault="002F0344" w:rsidP="00F03377">
            <w:pPr>
              <w:pStyle w:val="ListParagraph"/>
              <w:ind w:left="0"/>
            </w:pPr>
            <w:r>
              <w:t>Paul Spencer</w:t>
            </w:r>
          </w:p>
        </w:tc>
      </w:tr>
      <w:tr w:rsidR="00F03377" w:rsidTr="003A1427">
        <w:tc>
          <w:tcPr>
            <w:tcW w:w="4621" w:type="dxa"/>
            <w:shd w:val="clear" w:color="auto" w:fill="E7F6FF"/>
          </w:tcPr>
          <w:p w:rsidR="00F03377" w:rsidRDefault="00F03377" w:rsidP="00F03377">
            <w:pPr>
              <w:pStyle w:val="ListParagraph"/>
              <w:ind w:left="0"/>
            </w:pPr>
            <w:r>
              <w:t>Service Contract Manager</w:t>
            </w:r>
          </w:p>
        </w:tc>
        <w:tc>
          <w:tcPr>
            <w:tcW w:w="4985" w:type="dxa"/>
          </w:tcPr>
          <w:p w:rsidR="00F03377" w:rsidRDefault="002F5F44" w:rsidP="00F03377">
            <w:pPr>
              <w:pStyle w:val="ListParagraph"/>
              <w:ind w:left="0"/>
            </w:pPr>
            <w:r>
              <w:t>Paul Spencer</w:t>
            </w:r>
          </w:p>
        </w:tc>
      </w:tr>
      <w:tr w:rsidR="00F03377" w:rsidTr="003A1427">
        <w:tc>
          <w:tcPr>
            <w:tcW w:w="4621" w:type="dxa"/>
            <w:shd w:val="clear" w:color="auto" w:fill="E7F6FF"/>
          </w:tcPr>
          <w:p w:rsidR="00F03377" w:rsidRDefault="00F03377" w:rsidP="00F03377">
            <w:pPr>
              <w:pStyle w:val="ListParagraph"/>
              <w:ind w:left="0"/>
            </w:pPr>
            <w:r>
              <w:t>Finance Business Partner</w:t>
            </w:r>
          </w:p>
        </w:tc>
        <w:tc>
          <w:tcPr>
            <w:tcW w:w="4985" w:type="dxa"/>
          </w:tcPr>
          <w:p w:rsidR="00F03377" w:rsidRDefault="00E42ED9" w:rsidP="00F03377">
            <w:pPr>
              <w:pStyle w:val="ListParagraph"/>
              <w:ind w:left="0"/>
            </w:pPr>
            <w:r>
              <w:t>Lyn Barker</w:t>
            </w:r>
          </w:p>
        </w:tc>
      </w:tr>
      <w:tr w:rsidR="00F03377" w:rsidTr="003A1427">
        <w:tc>
          <w:tcPr>
            <w:tcW w:w="4621" w:type="dxa"/>
            <w:shd w:val="clear" w:color="auto" w:fill="E7F6FF"/>
          </w:tcPr>
          <w:p w:rsidR="00F03377" w:rsidRDefault="00F03377" w:rsidP="000C707E">
            <w:pPr>
              <w:pStyle w:val="ListParagraph"/>
              <w:ind w:left="0"/>
            </w:pPr>
            <w:r>
              <w:t>L</w:t>
            </w:r>
            <w:r w:rsidR="000C707E">
              <w:t>aw</w:t>
            </w:r>
            <w:r>
              <w:t xml:space="preserve"> &amp; Governance</w:t>
            </w:r>
          </w:p>
        </w:tc>
        <w:tc>
          <w:tcPr>
            <w:tcW w:w="4985" w:type="dxa"/>
          </w:tcPr>
          <w:p w:rsidR="00F03377" w:rsidRDefault="002F5F44" w:rsidP="00F03377">
            <w:pPr>
              <w:pStyle w:val="ListParagraph"/>
              <w:ind w:left="0"/>
            </w:pPr>
            <w:r>
              <w:t>Lindsay Cane</w:t>
            </w:r>
          </w:p>
        </w:tc>
      </w:tr>
      <w:tr w:rsidR="00F03377" w:rsidTr="003A1427">
        <w:tc>
          <w:tcPr>
            <w:tcW w:w="4621" w:type="dxa"/>
            <w:shd w:val="clear" w:color="auto" w:fill="E7F6FF"/>
          </w:tcPr>
          <w:p w:rsidR="00F03377" w:rsidRDefault="00F03377" w:rsidP="00F03377">
            <w:pPr>
              <w:pStyle w:val="ListParagraph"/>
              <w:ind w:left="0"/>
            </w:pPr>
            <w:r>
              <w:t>Procurement</w:t>
            </w:r>
            <w:r w:rsidR="000C707E">
              <w:t xml:space="preserve"> Lead</w:t>
            </w:r>
          </w:p>
        </w:tc>
        <w:tc>
          <w:tcPr>
            <w:tcW w:w="4985" w:type="dxa"/>
          </w:tcPr>
          <w:p w:rsidR="00F03377" w:rsidRDefault="00EE09D1" w:rsidP="00F03377">
            <w:pPr>
              <w:pStyle w:val="ListParagraph"/>
              <w:ind w:left="0"/>
            </w:pPr>
            <w:r>
              <w:t>Nicky Atkin, in consultation with Paul Spencer</w:t>
            </w:r>
          </w:p>
        </w:tc>
      </w:tr>
      <w:tr w:rsidR="00F03377" w:rsidTr="003A1427">
        <w:tc>
          <w:tcPr>
            <w:tcW w:w="4621" w:type="dxa"/>
            <w:shd w:val="clear" w:color="auto" w:fill="E7F6FF"/>
          </w:tcPr>
          <w:p w:rsidR="00F03377" w:rsidRDefault="00F03377" w:rsidP="00F03377">
            <w:pPr>
              <w:pStyle w:val="ListParagraph"/>
              <w:ind w:left="0"/>
            </w:pPr>
            <w:r>
              <w:t>Other (insert additional lines where necessary e.g. HR, ICT</w:t>
            </w:r>
            <w:r w:rsidR="00974F90">
              <w:t>, incl. members of the Evaluation Panel</w:t>
            </w:r>
            <w:r>
              <w:t xml:space="preserve"> </w:t>
            </w:r>
            <w:proofErr w:type="spellStart"/>
            <w:r>
              <w:t>etc</w:t>
            </w:r>
            <w:proofErr w:type="spellEnd"/>
            <w:r>
              <w:t>)</w:t>
            </w:r>
          </w:p>
        </w:tc>
        <w:tc>
          <w:tcPr>
            <w:tcW w:w="4985" w:type="dxa"/>
          </w:tcPr>
          <w:p w:rsidR="00F03377" w:rsidRDefault="002F0344" w:rsidP="00F03377">
            <w:pPr>
              <w:pStyle w:val="ListParagraph"/>
              <w:ind w:left="0"/>
            </w:pPr>
            <w:r>
              <w:t>Councillor John Tanner will be consulted on this procurement in the early stages.</w:t>
            </w:r>
          </w:p>
        </w:tc>
      </w:tr>
    </w:tbl>
    <w:p w:rsidR="00F03377" w:rsidRDefault="00F03377" w:rsidP="00F03377">
      <w:pPr>
        <w:pStyle w:val="ListParagraph"/>
        <w:ind w:left="0"/>
      </w:pPr>
    </w:p>
    <w:p w:rsidR="000277C4" w:rsidRDefault="000277C4" w:rsidP="00F03377">
      <w:pPr>
        <w:pStyle w:val="ListParagraph"/>
        <w:ind w:left="0"/>
      </w:pPr>
      <w:r>
        <w:t>1.5</w:t>
      </w:r>
      <w:r>
        <w:tab/>
        <w:t>Will the decision to award be a key decision?</w:t>
      </w:r>
    </w:p>
    <w:p w:rsidR="000277C4" w:rsidRDefault="001F4F37" w:rsidP="000277C4">
      <w:pPr>
        <w:pStyle w:val="ListParagraph"/>
        <w:ind w:left="0"/>
        <w:jc w:val="right"/>
      </w:pPr>
      <w:r>
        <w:t xml:space="preserve">Yes </w:t>
      </w:r>
    </w:p>
    <w:p w:rsidR="000277C4" w:rsidRPr="000277C4" w:rsidRDefault="000277C4" w:rsidP="000277C4">
      <w:pPr>
        <w:pStyle w:val="ListParagraph"/>
        <w:rPr>
          <w:i/>
          <w:color w:val="FF0000"/>
          <w:sz w:val="20"/>
          <w:szCs w:val="20"/>
        </w:rPr>
      </w:pPr>
      <w:r w:rsidRPr="000277C4">
        <w:rPr>
          <w:i/>
          <w:color w:val="FF0000"/>
          <w:sz w:val="20"/>
          <w:szCs w:val="20"/>
        </w:rPr>
        <w:t xml:space="preserve">If </w:t>
      </w:r>
      <w:proofErr w:type="gramStart"/>
      <w:r w:rsidRPr="000277C4">
        <w:rPr>
          <w:i/>
          <w:color w:val="FF0000"/>
          <w:sz w:val="20"/>
          <w:szCs w:val="20"/>
        </w:rPr>
        <w:t>Yes</w:t>
      </w:r>
      <w:proofErr w:type="gramEnd"/>
      <w:r w:rsidRPr="000277C4">
        <w:rPr>
          <w:i/>
          <w:color w:val="FF0000"/>
          <w:sz w:val="20"/>
          <w:szCs w:val="20"/>
        </w:rPr>
        <w:t>, please ensure that steps are taken to include this on the Forward Plan</w:t>
      </w:r>
    </w:p>
    <w:p w:rsidR="000277C4" w:rsidRDefault="000277C4" w:rsidP="00F03377">
      <w:pPr>
        <w:pStyle w:val="ListParagraph"/>
        <w:ind w:left="0"/>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333FF"/>
        <w:tblLook w:val="04A0" w:firstRow="1" w:lastRow="0" w:firstColumn="1" w:lastColumn="0" w:noHBand="0" w:noVBand="1"/>
      </w:tblPr>
      <w:tblGrid>
        <w:gridCol w:w="9606"/>
      </w:tblGrid>
      <w:tr w:rsidR="001A76AF" w:rsidRPr="001A76AF" w:rsidTr="00974F90">
        <w:tc>
          <w:tcPr>
            <w:tcW w:w="9606" w:type="dxa"/>
            <w:shd w:val="clear" w:color="auto" w:fill="3333FF"/>
          </w:tcPr>
          <w:p w:rsidR="001A76AF" w:rsidRPr="001A76AF" w:rsidRDefault="001A76AF" w:rsidP="004D1623">
            <w:pPr>
              <w:pStyle w:val="ListParagraph"/>
              <w:numPr>
                <w:ilvl w:val="0"/>
                <w:numId w:val="1"/>
              </w:numPr>
              <w:spacing w:before="40" w:after="40"/>
              <w:ind w:left="567" w:hanging="567"/>
              <w:rPr>
                <w:b/>
                <w:color w:val="FFFFFF" w:themeColor="background1"/>
              </w:rPr>
            </w:pPr>
            <w:r>
              <w:rPr>
                <w:b/>
                <w:color w:val="FFFFFF" w:themeColor="background1"/>
              </w:rPr>
              <w:t>FINANCIAL AFFORDABILITY</w:t>
            </w:r>
            <w:r w:rsidR="009A226D">
              <w:rPr>
                <w:b/>
                <w:color w:val="FFFFFF" w:themeColor="background1"/>
              </w:rPr>
              <w:t xml:space="preserve"> &amp; SAVINGS FORECAST</w:t>
            </w:r>
          </w:p>
        </w:tc>
      </w:tr>
    </w:tbl>
    <w:p w:rsidR="001A76AF" w:rsidRDefault="001A76AF" w:rsidP="00F03377">
      <w:pPr>
        <w:pStyle w:val="ListParagraph"/>
        <w:ind w:left="0"/>
      </w:pPr>
    </w:p>
    <w:p w:rsidR="00974F90" w:rsidRDefault="00974F90" w:rsidP="00974F90">
      <w:pPr>
        <w:pStyle w:val="ListParagraph"/>
        <w:numPr>
          <w:ilvl w:val="1"/>
          <w:numId w:val="1"/>
        </w:numPr>
        <w:ind w:left="709" w:hanging="709"/>
      </w:pPr>
      <w:r>
        <w:t xml:space="preserve">What is the current </w:t>
      </w:r>
      <w:proofErr w:type="gramStart"/>
      <w:r>
        <w:t>spend</w:t>
      </w:r>
      <w:proofErr w:type="gramEnd"/>
      <w:r>
        <w:t>.</w:t>
      </w:r>
    </w:p>
    <w:tbl>
      <w:tblPr>
        <w:tblStyle w:val="TableGrid"/>
        <w:tblW w:w="9606" w:type="dxa"/>
        <w:tblLook w:val="04A0" w:firstRow="1" w:lastRow="0" w:firstColumn="1" w:lastColumn="0" w:noHBand="0" w:noVBand="1"/>
      </w:tblPr>
      <w:tblGrid>
        <w:gridCol w:w="9606"/>
      </w:tblGrid>
      <w:tr w:rsidR="00974F90" w:rsidTr="00597FF3">
        <w:tc>
          <w:tcPr>
            <w:tcW w:w="9606" w:type="dxa"/>
          </w:tcPr>
          <w:p w:rsidR="00974F90" w:rsidRDefault="00974F90" w:rsidP="00974F90">
            <w:pPr>
              <w:pStyle w:val="ListParagraph"/>
              <w:ind w:left="0"/>
            </w:pPr>
            <w:r>
              <w:t>If this is a continuation of a requirement, what is the historic spend per annum</w:t>
            </w:r>
          </w:p>
          <w:tbl>
            <w:tblPr>
              <w:tblW w:w="8940" w:type="dxa"/>
              <w:tblLook w:val="04A0" w:firstRow="1" w:lastRow="0" w:firstColumn="1" w:lastColumn="0" w:noHBand="0" w:noVBand="1"/>
            </w:tblPr>
            <w:tblGrid>
              <w:gridCol w:w="1072"/>
              <w:gridCol w:w="1400"/>
              <w:gridCol w:w="2540"/>
              <w:gridCol w:w="4040"/>
            </w:tblGrid>
            <w:tr w:rsidR="00A2745C" w:rsidRPr="00A2745C" w:rsidTr="00A2745C">
              <w:trPr>
                <w:trHeight w:val="315"/>
              </w:trPr>
              <w:tc>
                <w:tcPr>
                  <w:tcW w:w="960" w:type="dxa"/>
                  <w:tcBorders>
                    <w:top w:val="nil"/>
                    <w:left w:val="nil"/>
                    <w:bottom w:val="nil"/>
                    <w:right w:val="nil"/>
                  </w:tcBorders>
                  <w:shd w:val="clear" w:color="auto" w:fill="auto"/>
                  <w:noWrap/>
                  <w:vAlign w:val="bottom"/>
                  <w:hideMark/>
                </w:tcPr>
                <w:p w:rsidR="00A2745C" w:rsidRPr="00A2745C" w:rsidRDefault="00A2745C" w:rsidP="00A2745C">
                  <w:pPr>
                    <w:rPr>
                      <w:rFonts w:eastAsia="Times New Roman"/>
                      <w:b/>
                      <w:bCs/>
                      <w:lang w:eastAsia="en-GB"/>
                    </w:rPr>
                  </w:pPr>
                  <w:r w:rsidRPr="00A2745C">
                    <w:rPr>
                      <w:rFonts w:eastAsia="Times New Roman"/>
                      <w:b/>
                      <w:bCs/>
                      <w:lang w:eastAsia="en-GB"/>
                    </w:rPr>
                    <w:t>Utility</w:t>
                  </w:r>
                </w:p>
              </w:tc>
              <w:tc>
                <w:tcPr>
                  <w:tcW w:w="1400" w:type="dxa"/>
                  <w:tcBorders>
                    <w:top w:val="nil"/>
                    <w:left w:val="nil"/>
                    <w:bottom w:val="nil"/>
                    <w:right w:val="nil"/>
                  </w:tcBorders>
                  <w:shd w:val="clear" w:color="auto" w:fill="auto"/>
                  <w:noWrap/>
                  <w:vAlign w:val="bottom"/>
                  <w:hideMark/>
                </w:tcPr>
                <w:p w:rsidR="00A2745C" w:rsidRPr="00A2745C" w:rsidRDefault="00A2745C" w:rsidP="00A2745C">
                  <w:pPr>
                    <w:rPr>
                      <w:rFonts w:eastAsia="Times New Roman"/>
                      <w:b/>
                      <w:bCs/>
                      <w:lang w:eastAsia="en-GB"/>
                    </w:rPr>
                  </w:pPr>
                  <w:r w:rsidRPr="00A2745C">
                    <w:rPr>
                      <w:rFonts w:eastAsia="Times New Roman"/>
                      <w:b/>
                      <w:bCs/>
                      <w:lang w:eastAsia="en-GB"/>
                    </w:rPr>
                    <w:t>Contract</w:t>
                  </w:r>
                </w:p>
              </w:tc>
              <w:tc>
                <w:tcPr>
                  <w:tcW w:w="2540" w:type="dxa"/>
                  <w:tcBorders>
                    <w:top w:val="nil"/>
                    <w:left w:val="nil"/>
                    <w:bottom w:val="nil"/>
                    <w:right w:val="nil"/>
                  </w:tcBorders>
                  <w:shd w:val="clear" w:color="auto" w:fill="auto"/>
                  <w:noWrap/>
                  <w:vAlign w:val="bottom"/>
                  <w:hideMark/>
                </w:tcPr>
                <w:p w:rsidR="00A2745C" w:rsidRPr="00A2745C" w:rsidRDefault="00A2745C" w:rsidP="00A2745C">
                  <w:pPr>
                    <w:rPr>
                      <w:rFonts w:eastAsia="Times New Roman"/>
                      <w:b/>
                      <w:bCs/>
                      <w:lang w:eastAsia="en-GB"/>
                    </w:rPr>
                  </w:pPr>
                  <w:r w:rsidRPr="00A2745C">
                    <w:rPr>
                      <w:rFonts w:eastAsia="Times New Roman"/>
                      <w:b/>
                      <w:bCs/>
                      <w:lang w:eastAsia="en-GB"/>
                    </w:rPr>
                    <w:t>Number of Accounts</w:t>
                  </w:r>
                </w:p>
              </w:tc>
              <w:tc>
                <w:tcPr>
                  <w:tcW w:w="4040" w:type="dxa"/>
                  <w:tcBorders>
                    <w:top w:val="nil"/>
                    <w:left w:val="nil"/>
                    <w:bottom w:val="nil"/>
                    <w:right w:val="nil"/>
                  </w:tcBorders>
                  <w:shd w:val="clear" w:color="auto" w:fill="auto"/>
                  <w:noWrap/>
                  <w:vAlign w:val="bottom"/>
                  <w:hideMark/>
                </w:tcPr>
                <w:p w:rsidR="00A2745C" w:rsidRPr="00A2745C" w:rsidRDefault="00A2745C" w:rsidP="00A2745C">
                  <w:pPr>
                    <w:rPr>
                      <w:rFonts w:eastAsia="Times New Roman"/>
                      <w:b/>
                      <w:bCs/>
                      <w:lang w:eastAsia="en-GB"/>
                    </w:rPr>
                  </w:pPr>
                  <w:r w:rsidRPr="00A2745C">
                    <w:rPr>
                      <w:rFonts w:eastAsia="Times New Roman"/>
                      <w:b/>
                      <w:bCs/>
                      <w:lang w:eastAsia="en-GB"/>
                    </w:rPr>
                    <w:t>Financial Spend 2014/15 [ex VAT]</w:t>
                  </w:r>
                </w:p>
              </w:tc>
            </w:tr>
            <w:tr w:rsidR="00A2745C" w:rsidRPr="00A2745C" w:rsidTr="00A2745C">
              <w:trPr>
                <w:trHeight w:val="255"/>
              </w:trPr>
              <w:tc>
                <w:tcPr>
                  <w:tcW w:w="960" w:type="dxa"/>
                  <w:tcBorders>
                    <w:top w:val="nil"/>
                    <w:left w:val="nil"/>
                    <w:bottom w:val="nil"/>
                    <w:right w:val="nil"/>
                  </w:tcBorders>
                  <w:shd w:val="clear" w:color="000000" w:fill="D8E4BC"/>
                  <w:noWrap/>
                  <w:vAlign w:val="bottom"/>
                  <w:hideMark/>
                </w:tcPr>
                <w:p w:rsidR="00A2745C" w:rsidRPr="00A2745C" w:rsidRDefault="00A2745C" w:rsidP="00A2745C">
                  <w:pPr>
                    <w:rPr>
                      <w:rFonts w:eastAsia="Times New Roman"/>
                      <w:sz w:val="20"/>
                      <w:szCs w:val="20"/>
                      <w:lang w:eastAsia="en-GB"/>
                    </w:rPr>
                  </w:pPr>
                  <w:r w:rsidRPr="00A2745C">
                    <w:rPr>
                      <w:rFonts w:eastAsia="Times New Roman"/>
                      <w:sz w:val="20"/>
                      <w:szCs w:val="20"/>
                      <w:lang w:eastAsia="en-GB"/>
                    </w:rPr>
                    <w:t>Electricity</w:t>
                  </w:r>
                </w:p>
              </w:tc>
              <w:tc>
                <w:tcPr>
                  <w:tcW w:w="1400" w:type="dxa"/>
                  <w:tcBorders>
                    <w:top w:val="nil"/>
                    <w:left w:val="nil"/>
                    <w:bottom w:val="nil"/>
                    <w:right w:val="nil"/>
                  </w:tcBorders>
                  <w:shd w:val="clear" w:color="000000" w:fill="D8E4BC"/>
                  <w:noWrap/>
                  <w:vAlign w:val="bottom"/>
                  <w:hideMark/>
                </w:tcPr>
                <w:p w:rsidR="00A2745C" w:rsidRPr="00A2745C" w:rsidRDefault="00A2745C" w:rsidP="00A2745C">
                  <w:pPr>
                    <w:rPr>
                      <w:rFonts w:eastAsia="Times New Roman"/>
                      <w:sz w:val="20"/>
                      <w:szCs w:val="20"/>
                      <w:lang w:eastAsia="en-GB"/>
                    </w:rPr>
                  </w:pPr>
                  <w:r w:rsidRPr="00A2745C">
                    <w:rPr>
                      <w:rFonts w:eastAsia="Times New Roman"/>
                      <w:sz w:val="20"/>
                      <w:szCs w:val="20"/>
                      <w:lang w:eastAsia="en-GB"/>
                    </w:rPr>
                    <w:t xml:space="preserve">LASER </w:t>
                  </w:r>
                  <w:proofErr w:type="spellStart"/>
                  <w:r w:rsidRPr="00A2745C">
                    <w:rPr>
                      <w:rFonts w:eastAsia="Times New Roman"/>
                      <w:sz w:val="20"/>
                      <w:szCs w:val="20"/>
                      <w:lang w:eastAsia="en-GB"/>
                    </w:rPr>
                    <w:t>H</w:t>
                  </w:r>
                  <w:r>
                    <w:rPr>
                      <w:rFonts w:eastAsia="Times New Roman"/>
                      <w:sz w:val="20"/>
                      <w:szCs w:val="20"/>
                      <w:lang w:eastAsia="en-GB"/>
                    </w:rPr>
                    <w:t>alfhourly</w:t>
                  </w:r>
                  <w:proofErr w:type="spellEnd"/>
                  <w:r>
                    <w:rPr>
                      <w:rFonts w:eastAsia="Times New Roman"/>
                      <w:sz w:val="20"/>
                      <w:szCs w:val="20"/>
                      <w:lang w:eastAsia="en-GB"/>
                    </w:rPr>
                    <w:t xml:space="preserve"> H</w:t>
                  </w:r>
                  <w:r w:rsidRPr="00A2745C">
                    <w:rPr>
                      <w:rFonts w:eastAsia="Times New Roman"/>
                      <w:sz w:val="20"/>
                      <w:szCs w:val="20"/>
                      <w:lang w:eastAsia="en-GB"/>
                    </w:rPr>
                    <w:t>H</w:t>
                  </w:r>
                </w:p>
              </w:tc>
              <w:tc>
                <w:tcPr>
                  <w:tcW w:w="2540" w:type="dxa"/>
                  <w:tcBorders>
                    <w:top w:val="nil"/>
                    <w:left w:val="nil"/>
                    <w:bottom w:val="nil"/>
                    <w:right w:val="nil"/>
                  </w:tcBorders>
                  <w:shd w:val="clear" w:color="000000" w:fill="D8E4BC"/>
                  <w:noWrap/>
                  <w:vAlign w:val="bottom"/>
                  <w:hideMark/>
                </w:tcPr>
                <w:p w:rsidR="00A2745C" w:rsidRPr="00A2745C" w:rsidRDefault="00A2745C" w:rsidP="00A2745C">
                  <w:pPr>
                    <w:jc w:val="right"/>
                    <w:rPr>
                      <w:rFonts w:eastAsia="Times New Roman"/>
                      <w:sz w:val="20"/>
                      <w:szCs w:val="20"/>
                      <w:lang w:eastAsia="en-GB"/>
                    </w:rPr>
                  </w:pPr>
                  <w:r w:rsidRPr="00A2745C">
                    <w:rPr>
                      <w:rFonts w:eastAsia="Times New Roman"/>
                      <w:sz w:val="20"/>
                      <w:szCs w:val="20"/>
                      <w:lang w:eastAsia="en-GB"/>
                    </w:rPr>
                    <w:t>9</w:t>
                  </w:r>
                </w:p>
              </w:tc>
              <w:tc>
                <w:tcPr>
                  <w:tcW w:w="4040" w:type="dxa"/>
                  <w:tcBorders>
                    <w:top w:val="nil"/>
                    <w:left w:val="nil"/>
                    <w:bottom w:val="nil"/>
                    <w:right w:val="nil"/>
                  </w:tcBorders>
                  <w:shd w:val="clear" w:color="000000" w:fill="D8E4BC"/>
                  <w:noWrap/>
                  <w:vAlign w:val="bottom"/>
                  <w:hideMark/>
                </w:tcPr>
                <w:p w:rsidR="00A2745C" w:rsidRPr="00A2745C" w:rsidRDefault="00A2745C" w:rsidP="00A2745C">
                  <w:pPr>
                    <w:jc w:val="right"/>
                    <w:rPr>
                      <w:rFonts w:eastAsia="Times New Roman"/>
                      <w:sz w:val="20"/>
                      <w:szCs w:val="20"/>
                      <w:lang w:eastAsia="en-GB"/>
                    </w:rPr>
                  </w:pPr>
                  <w:r w:rsidRPr="00A2745C">
                    <w:rPr>
                      <w:rFonts w:eastAsia="Times New Roman"/>
                      <w:sz w:val="20"/>
                      <w:szCs w:val="20"/>
                      <w:lang w:eastAsia="en-GB"/>
                    </w:rPr>
                    <w:t>£502,031.98</w:t>
                  </w:r>
                </w:p>
              </w:tc>
            </w:tr>
            <w:tr w:rsidR="00A2745C" w:rsidRPr="00A2745C" w:rsidTr="00A2745C">
              <w:trPr>
                <w:trHeight w:val="255"/>
              </w:trPr>
              <w:tc>
                <w:tcPr>
                  <w:tcW w:w="960" w:type="dxa"/>
                  <w:tcBorders>
                    <w:top w:val="nil"/>
                    <w:left w:val="nil"/>
                    <w:bottom w:val="nil"/>
                    <w:right w:val="nil"/>
                  </w:tcBorders>
                  <w:shd w:val="clear" w:color="000000" w:fill="D8E4BC"/>
                  <w:noWrap/>
                  <w:vAlign w:val="bottom"/>
                  <w:hideMark/>
                </w:tcPr>
                <w:p w:rsidR="00A2745C" w:rsidRPr="00A2745C" w:rsidRDefault="00A2745C" w:rsidP="00A2745C">
                  <w:pPr>
                    <w:rPr>
                      <w:rFonts w:eastAsia="Times New Roman"/>
                      <w:sz w:val="20"/>
                      <w:szCs w:val="20"/>
                      <w:lang w:eastAsia="en-GB"/>
                    </w:rPr>
                  </w:pPr>
                  <w:r w:rsidRPr="00A2745C">
                    <w:rPr>
                      <w:rFonts w:eastAsia="Times New Roman"/>
                      <w:sz w:val="20"/>
                      <w:szCs w:val="20"/>
                      <w:lang w:eastAsia="en-GB"/>
                    </w:rPr>
                    <w:t>Electricity</w:t>
                  </w:r>
                </w:p>
              </w:tc>
              <w:tc>
                <w:tcPr>
                  <w:tcW w:w="1400" w:type="dxa"/>
                  <w:tcBorders>
                    <w:top w:val="nil"/>
                    <w:left w:val="nil"/>
                    <w:bottom w:val="nil"/>
                    <w:right w:val="nil"/>
                  </w:tcBorders>
                  <w:shd w:val="clear" w:color="000000" w:fill="D8E4BC"/>
                  <w:noWrap/>
                  <w:vAlign w:val="bottom"/>
                  <w:hideMark/>
                </w:tcPr>
                <w:p w:rsidR="00A2745C" w:rsidRPr="00A2745C" w:rsidRDefault="00A2745C" w:rsidP="00A2745C">
                  <w:pPr>
                    <w:rPr>
                      <w:rFonts w:eastAsia="Times New Roman"/>
                      <w:sz w:val="20"/>
                      <w:szCs w:val="20"/>
                      <w:lang w:eastAsia="en-GB"/>
                    </w:rPr>
                  </w:pPr>
                  <w:r w:rsidRPr="00A2745C">
                    <w:rPr>
                      <w:rFonts w:eastAsia="Times New Roman"/>
                      <w:sz w:val="20"/>
                      <w:szCs w:val="20"/>
                      <w:lang w:eastAsia="en-GB"/>
                    </w:rPr>
                    <w:t xml:space="preserve">LASER </w:t>
                  </w:r>
                  <w:proofErr w:type="spellStart"/>
                  <w:r w:rsidRPr="00A2745C">
                    <w:rPr>
                      <w:rFonts w:eastAsia="Times New Roman"/>
                      <w:sz w:val="20"/>
                      <w:szCs w:val="20"/>
                      <w:lang w:eastAsia="en-GB"/>
                    </w:rPr>
                    <w:t>N</w:t>
                  </w:r>
                  <w:r>
                    <w:rPr>
                      <w:rFonts w:eastAsia="Times New Roman"/>
                      <w:sz w:val="20"/>
                      <w:szCs w:val="20"/>
                      <w:lang w:eastAsia="en-GB"/>
                    </w:rPr>
                    <w:t>on</w:t>
                  </w:r>
                  <w:r w:rsidRPr="00A2745C">
                    <w:rPr>
                      <w:rFonts w:eastAsia="Times New Roman"/>
                      <w:sz w:val="20"/>
                      <w:szCs w:val="20"/>
                      <w:lang w:eastAsia="en-GB"/>
                    </w:rPr>
                    <w:t>HH</w:t>
                  </w:r>
                  <w:proofErr w:type="spellEnd"/>
                </w:p>
              </w:tc>
              <w:tc>
                <w:tcPr>
                  <w:tcW w:w="2540" w:type="dxa"/>
                  <w:tcBorders>
                    <w:top w:val="nil"/>
                    <w:left w:val="nil"/>
                    <w:bottom w:val="nil"/>
                    <w:right w:val="nil"/>
                  </w:tcBorders>
                  <w:shd w:val="clear" w:color="000000" w:fill="D8E4BC"/>
                  <w:noWrap/>
                  <w:vAlign w:val="bottom"/>
                  <w:hideMark/>
                </w:tcPr>
                <w:p w:rsidR="00A2745C" w:rsidRPr="00A2745C" w:rsidRDefault="00A2745C" w:rsidP="00A2745C">
                  <w:pPr>
                    <w:jc w:val="right"/>
                    <w:rPr>
                      <w:rFonts w:eastAsia="Times New Roman"/>
                      <w:sz w:val="20"/>
                      <w:szCs w:val="20"/>
                      <w:lang w:eastAsia="en-GB"/>
                    </w:rPr>
                  </w:pPr>
                  <w:r w:rsidRPr="00A2745C">
                    <w:rPr>
                      <w:rFonts w:eastAsia="Times New Roman"/>
                      <w:sz w:val="20"/>
                      <w:szCs w:val="20"/>
                      <w:lang w:eastAsia="en-GB"/>
                    </w:rPr>
                    <w:t>8</w:t>
                  </w:r>
                </w:p>
              </w:tc>
              <w:tc>
                <w:tcPr>
                  <w:tcW w:w="4040" w:type="dxa"/>
                  <w:tcBorders>
                    <w:top w:val="nil"/>
                    <w:left w:val="nil"/>
                    <w:bottom w:val="nil"/>
                    <w:right w:val="nil"/>
                  </w:tcBorders>
                  <w:shd w:val="clear" w:color="000000" w:fill="D8E4BC"/>
                  <w:noWrap/>
                  <w:vAlign w:val="bottom"/>
                  <w:hideMark/>
                </w:tcPr>
                <w:p w:rsidR="00A2745C" w:rsidRPr="00A2745C" w:rsidRDefault="00A2745C" w:rsidP="00A2745C">
                  <w:pPr>
                    <w:jc w:val="right"/>
                    <w:rPr>
                      <w:rFonts w:eastAsia="Times New Roman"/>
                      <w:sz w:val="20"/>
                      <w:szCs w:val="20"/>
                      <w:lang w:eastAsia="en-GB"/>
                    </w:rPr>
                  </w:pPr>
                  <w:r w:rsidRPr="00A2745C">
                    <w:rPr>
                      <w:rFonts w:eastAsia="Times New Roman"/>
                      <w:sz w:val="20"/>
                      <w:szCs w:val="20"/>
                      <w:lang w:eastAsia="en-GB"/>
                    </w:rPr>
                    <w:t>£128,286.58</w:t>
                  </w:r>
                </w:p>
              </w:tc>
            </w:tr>
            <w:tr w:rsidR="00A2745C" w:rsidRPr="00A2745C" w:rsidTr="00A2745C">
              <w:trPr>
                <w:trHeight w:val="255"/>
              </w:trPr>
              <w:tc>
                <w:tcPr>
                  <w:tcW w:w="960" w:type="dxa"/>
                  <w:tcBorders>
                    <w:top w:val="nil"/>
                    <w:left w:val="nil"/>
                    <w:bottom w:val="nil"/>
                    <w:right w:val="nil"/>
                  </w:tcBorders>
                  <w:shd w:val="clear" w:color="000000" w:fill="D8E4BC"/>
                  <w:noWrap/>
                  <w:vAlign w:val="bottom"/>
                  <w:hideMark/>
                </w:tcPr>
                <w:p w:rsidR="00A2745C" w:rsidRPr="00A2745C" w:rsidRDefault="00A2745C" w:rsidP="00A2745C">
                  <w:pPr>
                    <w:rPr>
                      <w:rFonts w:eastAsia="Times New Roman"/>
                      <w:sz w:val="20"/>
                      <w:szCs w:val="20"/>
                      <w:lang w:eastAsia="en-GB"/>
                    </w:rPr>
                  </w:pPr>
                  <w:r w:rsidRPr="00A2745C">
                    <w:rPr>
                      <w:rFonts w:eastAsia="Times New Roman"/>
                      <w:sz w:val="20"/>
                      <w:szCs w:val="20"/>
                      <w:lang w:eastAsia="en-GB"/>
                    </w:rPr>
                    <w:t>Electricity</w:t>
                  </w:r>
                </w:p>
              </w:tc>
              <w:tc>
                <w:tcPr>
                  <w:tcW w:w="1400" w:type="dxa"/>
                  <w:tcBorders>
                    <w:top w:val="nil"/>
                    <w:left w:val="nil"/>
                    <w:bottom w:val="nil"/>
                    <w:right w:val="nil"/>
                  </w:tcBorders>
                  <w:shd w:val="clear" w:color="000000" w:fill="D8E4BC"/>
                  <w:noWrap/>
                  <w:vAlign w:val="bottom"/>
                  <w:hideMark/>
                </w:tcPr>
                <w:p w:rsidR="00A2745C" w:rsidRPr="00A2745C" w:rsidRDefault="00A2745C" w:rsidP="00A2745C">
                  <w:pPr>
                    <w:rPr>
                      <w:rFonts w:eastAsia="Times New Roman"/>
                      <w:sz w:val="20"/>
                      <w:szCs w:val="20"/>
                      <w:lang w:eastAsia="en-GB"/>
                    </w:rPr>
                  </w:pPr>
                  <w:r>
                    <w:rPr>
                      <w:rFonts w:eastAsia="Times New Roman"/>
                      <w:sz w:val="20"/>
                      <w:szCs w:val="20"/>
                      <w:lang w:eastAsia="en-GB"/>
                    </w:rPr>
                    <w:t>Quarterly billed (Fixed term contract)</w:t>
                  </w:r>
                </w:p>
              </w:tc>
              <w:tc>
                <w:tcPr>
                  <w:tcW w:w="2540" w:type="dxa"/>
                  <w:tcBorders>
                    <w:top w:val="nil"/>
                    <w:left w:val="nil"/>
                    <w:bottom w:val="nil"/>
                    <w:right w:val="nil"/>
                  </w:tcBorders>
                  <w:shd w:val="clear" w:color="000000" w:fill="D8E4BC"/>
                  <w:noWrap/>
                  <w:vAlign w:val="bottom"/>
                  <w:hideMark/>
                </w:tcPr>
                <w:p w:rsidR="00A2745C" w:rsidRPr="00A2745C" w:rsidRDefault="00A2745C" w:rsidP="00A2745C">
                  <w:pPr>
                    <w:jc w:val="right"/>
                    <w:rPr>
                      <w:rFonts w:eastAsia="Times New Roman"/>
                      <w:sz w:val="20"/>
                      <w:szCs w:val="20"/>
                      <w:lang w:eastAsia="en-GB"/>
                    </w:rPr>
                  </w:pPr>
                  <w:r w:rsidRPr="00A2745C">
                    <w:rPr>
                      <w:rFonts w:eastAsia="Times New Roman"/>
                      <w:sz w:val="20"/>
                      <w:szCs w:val="20"/>
                      <w:lang w:eastAsia="en-GB"/>
                    </w:rPr>
                    <w:t>603</w:t>
                  </w:r>
                </w:p>
              </w:tc>
              <w:tc>
                <w:tcPr>
                  <w:tcW w:w="4040" w:type="dxa"/>
                  <w:tcBorders>
                    <w:top w:val="nil"/>
                    <w:left w:val="nil"/>
                    <w:bottom w:val="nil"/>
                    <w:right w:val="nil"/>
                  </w:tcBorders>
                  <w:shd w:val="clear" w:color="000000" w:fill="D8E4BC"/>
                  <w:noWrap/>
                  <w:vAlign w:val="bottom"/>
                  <w:hideMark/>
                </w:tcPr>
                <w:p w:rsidR="00A2745C" w:rsidRPr="00A2745C" w:rsidRDefault="00A2745C" w:rsidP="00A2745C">
                  <w:pPr>
                    <w:jc w:val="right"/>
                    <w:rPr>
                      <w:rFonts w:eastAsia="Times New Roman"/>
                      <w:sz w:val="20"/>
                      <w:szCs w:val="20"/>
                      <w:lang w:eastAsia="en-GB"/>
                    </w:rPr>
                  </w:pPr>
                  <w:r w:rsidRPr="00A2745C">
                    <w:rPr>
                      <w:rFonts w:eastAsia="Times New Roman"/>
                      <w:sz w:val="20"/>
                      <w:szCs w:val="20"/>
                      <w:lang w:eastAsia="en-GB"/>
                    </w:rPr>
                    <w:t>£325,123.07</w:t>
                  </w:r>
                </w:p>
              </w:tc>
            </w:tr>
            <w:tr w:rsidR="00A2745C" w:rsidRPr="00A2745C" w:rsidTr="00A2745C">
              <w:trPr>
                <w:trHeight w:val="255"/>
              </w:trPr>
              <w:tc>
                <w:tcPr>
                  <w:tcW w:w="960" w:type="dxa"/>
                  <w:tcBorders>
                    <w:top w:val="nil"/>
                    <w:left w:val="nil"/>
                    <w:bottom w:val="nil"/>
                    <w:right w:val="nil"/>
                  </w:tcBorders>
                  <w:shd w:val="clear" w:color="000000" w:fill="FCD5B4"/>
                  <w:noWrap/>
                  <w:vAlign w:val="bottom"/>
                  <w:hideMark/>
                </w:tcPr>
                <w:p w:rsidR="00A2745C" w:rsidRPr="00A2745C" w:rsidRDefault="00A2745C" w:rsidP="00A2745C">
                  <w:pPr>
                    <w:rPr>
                      <w:rFonts w:eastAsia="Times New Roman"/>
                      <w:sz w:val="20"/>
                      <w:szCs w:val="20"/>
                      <w:lang w:eastAsia="en-GB"/>
                    </w:rPr>
                  </w:pPr>
                  <w:r w:rsidRPr="00A2745C">
                    <w:rPr>
                      <w:rFonts w:eastAsia="Times New Roman"/>
                      <w:sz w:val="20"/>
                      <w:szCs w:val="20"/>
                      <w:lang w:eastAsia="en-GB"/>
                    </w:rPr>
                    <w:t>Gas</w:t>
                  </w:r>
                </w:p>
              </w:tc>
              <w:tc>
                <w:tcPr>
                  <w:tcW w:w="1400" w:type="dxa"/>
                  <w:tcBorders>
                    <w:top w:val="nil"/>
                    <w:left w:val="nil"/>
                    <w:bottom w:val="nil"/>
                    <w:right w:val="nil"/>
                  </w:tcBorders>
                  <w:shd w:val="clear" w:color="000000" w:fill="FCD5B4"/>
                  <w:noWrap/>
                  <w:vAlign w:val="bottom"/>
                  <w:hideMark/>
                </w:tcPr>
                <w:p w:rsidR="00A2745C" w:rsidRPr="00A2745C" w:rsidRDefault="00A2745C" w:rsidP="00A2745C">
                  <w:pPr>
                    <w:rPr>
                      <w:rFonts w:eastAsia="Times New Roman"/>
                      <w:sz w:val="20"/>
                      <w:szCs w:val="20"/>
                      <w:lang w:eastAsia="en-GB"/>
                    </w:rPr>
                  </w:pPr>
                  <w:r w:rsidRPr="00A2745C">
                    <w:rPr>
                      <w:rFonts w:eastAsia="Times New Roman"/>
                      <w:sz w:val="20"/>
                      <w:szCs w:val="20"/>
                      <w:lang w:eastAsia="en-GB"/>
                    </w:rPr>
                    <w:t xml:space="preserve">LASER </w:t>
                  </w:r>
                  <w:r>
                    <w:rPr>
                      <w:rFonts w:eastAsia="Times New Roman"/>
                      <w:sz w:val="20"/>
                      <w:szCs w:val="20"/>
                      <w:lang w:eastAsia="en-GB"/>
                    </w:rPr>
                    <w:t>large gas supplies &gt;73,200kWh per year)</w:t>
                  </w:r>
                </w:p>
              </w:tc>
              <w:tc>
                <w:tcPr>
                  <w:tcW w:w="2540" w:type="dxa"/>
                  <w:tcBorders>
                    <w:top w:val="nil"/>
                    <w:left w:val="nil"/>
                    <w:bottom w:val="nil"/>
                    <w:right w:val="nil"/>
                  </w:tcBorders>
                  <w:shd w:val="clear" w:color="000000" w:fill="FCD5B4"/>
                  <w:noWrap/>
                  <w:vAlign w:val="bottom"/>
                  <w:hideMark/>
                </w:tcPr>
                <w:p w:rsidR="00A2745C" w:rsidRPr="00A2745C" w:rsidRDefault="00A2745C" w:rsidP="00A2745C">
                  <w:pPr>
                    <w:jc w:val="right"/>
                    <w:rPr>
                      <w:rFonts w:eastAsia="Times New Roman"/>
                      <w:sz w:val="20"/>
                      <w:szCs w:val="20"/>
                      <w:lang w:eastAsia="en-GB"/>
                    </w:rPr>
                  </w:pPr>
                  <w:r w:rsidRPr="00A2745C">
                    <w:rPr>
                      <w:rFonts w:eastAsia="Times New Roman"/>
                      <w:sz w:val="20"/>
                      <w:szCs w:val="20"/>
                      <w:lang w:eastAsia="en-GB"/>
                    </w:rPr>
                    <w:t>29</w:t>
                  </w:r>
                </w:p>
              </w:tc>
              <w:tc>
                <w:tcPr>
                  <w:tcW w:w="4040" w:type="dxa"/>
                  <w:tcBorders>
                    <w:top w:val="nil"/>
                    <w:left w:val="nil"/>
                    <w:bottom w:val="nil"/>
                    <w:right w:val="nil"/>
                  </w:tcBorders>
                  <w:shd w:val="clear" w:color="000000" w:fill="FCD5B4"/>
                  <w:noWrap/>
                  <w:vAlign w:val="bottom"/>
                  <w:hideMark/>
                </w:tcPr>
                <w:p w:rsidR="00A2745C" w:rsidRPr="00A2745C" w:rsidRDefault="00A2745C" w:rsidP="00A2745C">
                  <w:pPr>
                    <w:jc w:val="right"/>
                    <w:rPr>
                      <w:rFonts w:eastAsia="Times New Roman"/>
                      <w:sz w:val="20"/>
                      <w:szCs w:val="20"/>
                      <w:lang w:eastAsia="en-GB"/>
                    </w:rPr>
                  </w:pPr>
                  <w:r w:rsidRPr="00A2745C">
                    <w:rPr>
                      <w:rFonts w:eastAsia="Times New Roman"/>
                      <w:sz w:val="20"/>
                      <w:szCs w:val="20"/>
                      <w:lang w:eastAsia="en-GB"/>
                    </w:rPr>
                    <w:t>£421,044.81</w:t>
                  </w:r>
                </w:p>
              </w:tc>
            </w:tr>
            <w:tr w:rsidR="00A2745C" w:rsidRPr="00A2745C" w:rsidTr="00A2745C">
              <w:trPr>
                <w:trHeight w:val="255"/>
              </w:trPr>
              <w:tc>
                <w:tcPr>
                  <w:tcW w:w="960" w:type="dxa"/>
                  <w:tcBorders>
                    <w:top w:val="nil"/>
                    <w:left w:val="nil"/>
                    <w:bottom w:val="nil"/>
                    <w:right w:val="nil"/>
                  </w:tcBorders>
                  <w:shd w:val="clear" w:color="000000" w:fill="FCD5B4"/>
                  <w:noWrap/>
                  <w:vAlign w:val="bottom"/>
                  <w:hideMark/>
                </w:tcPr>
                <w:p w:rsidR="00A2745C" w:rsidRPr="00A2745C" w:rsidRDefault="00A2745C" w:rsidP="00A2745C">
                  <w:pPr>
                    <w:rPr>
                      <w:rFonts w:eastAsia="Times New Roman"/>
                      <w:sz w:val="20"/>
                      <w:szCs w:val="20"/>
                      <w:lang w:eastAsia="en-GB"/>
                    </w:rPr>
                  </w:pPr>
                  <w:r w:rsidRPr="00A2745C">
                    <w:rPr>
                      <w:rFonts w:eastAsia="Times New Roman"/>
                      <w:sz w:val="20"/>
                      <w:szCs w:val="20"/>
                      <w:lang w:eastAsia="en-GB"/>
                    </w:rPr>
                    <w:lastRenderedPageBreak/>
                    <w:t>Gas</w:t>
                  </w:r>
                </w:p>
              </w:tc>
              <w:tc>
                <w:tcPr>
                  <w:tcW w:w="1400" w:type="dxa"/>
                  <w:tcBorders>
                    <w:top w:val="nil"/>
                    <w:left w:val="nil"/>
                    <w:bottom w:val="nil"/>
                    <w:right w:val="nil"/>
                  </w:tcBorders>
                  <w:shd w:val="clear" w:color="000000" w:fill="FCD5B4"/>
                  <w:noWrap/>
                  <w:vAlign w:val="bottom"/>
                  <w:hideMark/>
                </w:tcPr>
                <w:p w:rsidR="00A2745C" w:rsidRPr="00A2745C" w:rsidRDefault="00A2745C" w:rsidP="00A2745C">
                  <w:pPr>
                    <w:rPr>
                      <w:rFonts w:eastAsia="Times New Roman"/>
                      <w:sz w:val="20"/>
                      <w:szCs w:val="20"/>
                      <w:lang w:eastAsia="en-GB"/>
                    </w:rPr>
                  </w:pPr>
                  <w:r>
                    <w:rPr>
                      <w:rFonts w:eastAsia="Times New Roman"/>
                      <w:sz w:val="20"/>
                      <w:szCs w:val="20"/>
                      <w:lang w:eastAsia="en-GB"/>
                    </w:rPr>
                    <w:t>Quarterly billed (Fixed term contract)</w:t>
                  </w:r>
                </w:p>
              </w:tc>
              <w:tc>
                <w:tcPr>
                  <w:tcW w:w="2540" w:type="dxa"/>
                  <w:tcBorders>
                    <w:top w:val="nil"/>
                    <w:left w:val="nil"/>
                    <w:bottom w:val="nil"/>
                    <w:right w:val="nil"/>
                  </w:tcBorders>
                  <w:shd w:val="clear" w:color="000000" w:fill="FCD5B4"/>
                  <w:noWrap/>
                  <w:vAlign w:val="bottom"/>
                  <w:hideMark/>
                </w:tcPr>
                <w:p w:rsidR="00A2745C" w:rsidRPr="00A2745C" w:rsidRDefault="00A2745C" w:rsidP="00A2745C">
                  <w:pPr>
                    <w:jc w:val="right"/>
                    <w:rPr>
                      <w:rFonts w:eastAsia="Times New Roman"/>
                      <w:sz w:val="20"/>
                      <w:szCs w:val="20"/>
                      <w:lang w:eastAsia="en-GB"/>
                    </w:rPr>
                  </w:pPr>
                  <w:r w:rsidRPr="00A2745C">
                    <w:rPr>
                      <w:rFonts w:eastAsia="Times New Roman"/>
                      <w:sz w:val="20"/>
                      <w:szCs w:val="20"/>
                      <w:lang w:eastAsia="en-GB"/>
                    </w:rPr>
                    <w:t>35</w:t>
                  </w:r>
                </w:p>
              </w:tc>
              <w:tc>
                <w:tcPr>
                  <w:tcW w:w="4040" w:type="dxa"/>
                  <w:tcBorders>
                    <w:top w:val="nil"/>
                    <w:left w:val="nil"/>
                    <w:bottom w:val="nil"/>
                    <w:right w:val="nil"/>
                  </w:tcBorders>
                  <w:shd w:val="clear" w:color="000000" w:fill="FCD5B4"/>
                  <w:noWrap/>
                  <w:vAlign w:val="bottom"/>
                  <w:hideMark/>
                </w:tcPr>
                <w:p w:rsidR="00A2745C" w:rsidRPr="00A2745C" w:rsidRDefault="00A2745C" w:rsidP="00A2745C">
                  <w:pPr>
                    <w:jc w:val="right"/>
                    <w:rPr>
                      <w:rFonts w:eastAsia="Times New Roman"/>
                      <w:sz w:val="20"/>
                      <w:szCs w:val="20"/>
                      <w:lang w:eastAsia="en-GB"/>
                    </w:rPr>
                  </w:pPr>
                  <w:r w:rsidRPr="00A2745C">
                    <w:rPr>
                      <w:rFonts w:eastAsia="Times New Roman"/>
                      <w:sz w:val="20"/>
                      <w:szCs w:val="20"/>
                      <w:lang w:eastAsia="en-GB"/>
                    </w:rPr>
                    <w:t>£36,416.49</w:t>
                  </w:r>
                </w:p>
              </w:tc>
            </w:tr>
            <w:tr w:rsidR="00A2745C" w:rsidRPr="00A2745C" w:rsidTr="00A2745C">
              <w:trPr>
                <w:trHeight w:val="255"/>
              </w:trPr>
              <w:tc>
                <w:tcPr>
                  <w:tcW w:w="960" w:type="dxa"/>
                  <w:tcBorders>
                    <w:top w:val="nil"/>
                    <w:left w:val="nil"/>
                    <w:bottom w:val="nil"/>
                    <w:right w:val="nil"/>
                  </w:tcBorders>
                  <w:shd w:val="clear" w:color="000000" w:fill="FFFF00"/>
                  <w:noWrap/>
                  <w:vAlign w:val="bottom"/>
                  <w:hideMark/>
                </w:tcPr>
                <w:p w:rsidR="00A2745C" w:rsidRPr="00A2745C" w:rsidRDefault="00A2745C" w:rsidP="00A2745C">
                  <w:pPr>
                    <w:rPr>
                      <w:rFonts w:eastAsia="Times New Roman"/>
                      <w:sz w:val="20"/>
                      <w:szCs w:val="20"/>
                      <w:lang w:eastAsia="en-GB"/>
                    </w:rPr>
                  </w:pPr>
                  <w:r w:rsidRPr="00A2745C">
                    <w:rPr>
                      <w:rFonts w:eastAsia="Times New Roman"/>
                      <w:sz w:val="20"/>
                      <w:szCs w:val="20"/>
                      <w:lang w:eastAsia="en-GB"/>
                    </w:rPr>
                    <w:t>TOTAL</w:t>
                  </w:r>
                </w:p>
              </w:tc>
              <w:tc>
                <w:tcPr>
                  <w:tcW w:w="1400" w:type="dxa"/>
                  <w:tcBorders>
                    <w:top w:val="nil"/>
                    <w:left w:val="nil"/>
                    <w:bottom w:val="nil"/>
                    <w:right w:val="nil"/>
                  </w:tcBorders>
                  <w:shd w:val="clear" w:color="000000" w:fill="FFFF00"/>
                  <w:noWrap/>
                  <w:vAlign w:val="bottom"/>
                  <w:hideMark/>
                </w:tcPr>
                <w:p w:rsidR="00A2745C" w:rsidRPr="00A2745C" w:rsidRDefault="00A2745C" w:rsidP="00A2745C">
                  <w:pPr>
                    <w:rPr>
                      <w:rFonts w:eastAsia="Times New Roman"/>
                      <w:sz w:val="20"/>
                      <w:szCs w:val="20"/>
                      <w:lang w:eastAsia="en-GB"/>
                    </w:rPr>
                  </w:pPr>
                  <w:r w:rsidRPr="00A2745C">
                    <w:rPr>
                      <w:rFonts w:eastAsia="Times New Roman"/>
                      <w:sz w:val="20"/>
                      <w:szCs w:val="20"/>
                      <w:lang w:eastAsia="en-GB"/>
                    </w:rPr>
                    <w:t> </w:t>
                  </w:r>
                </w:p>
              </w:tc>
              <w:tc>
                <w:tcPr>
                  <w:tcW w:w="2540" w:type="dxa"/>
                  <w:tcBorders>
                    <w:top w:val="nil"/>
                    <w:left w:val="nil"/>
                    <w:bottom w:val="nil"/>
                    <w:right w:val="nil"/>
                  </w:tcBorders>
                  <w:shd w:val="clear" w:color="000000" w:fill="FFFF00"/>
                  <w:noWrap/>
                  <w:vAlign w:val="bottom"/>
                  <w:hideMark/>
                </w:tcPr>
                <w:p w:rsidR="00A2745C" w:rsidRPr="00A2745C" w:rsidRDefault="00A2745C" w:rsidP="00A2745C">
                  <w:pPr>
                    <w:jc w:val="right"/>
                    <w:rPr>
                      <w:rFonts w:eastAsia="Times New Roman"/>
                      <w:sz w:val="20"/>
                      <w:szCs w:val="20"/>
                      <w:lang w:eastAsia="en-GB"/>
                    </w:rPr>
                  </w:pPr>
                  <w:r w:rsidRPr="00A2745C">
                    <w:rPr>
                      <w:rFonts w:eastAsia="Times New Roman"/>
                      <w:sz w:val="20"/>
                      <w:szCs w:val="20"/>
                      <w:lang w:eastAsia="en-GB"/>
                    </w:rPr>
                    <w:t>684</w:t>
                  </w:r>
                </w:p>
              </w:tc>
              <w:tc>
                <w:tcPr>
                  <w:tcW w:w="4040" w:type="dxa"/>
                  <w:tcBorders>
                    <w:top w:val="nil"/>
                    <w:left w:val="nil"/>
                    <w:bottom w:val="nil"/>
                    <w:right w:val="nil"/>
                  </w:tcBorders>
                  <w:shd w:val="clear" w:color="000000" w:fill="FFFF00"/>
                  <w:noWrap/>
                  <w:vAlign w:val="bottom"/>
                  <w:hideMark/>
                </w:tcPr>
                <w:p w:rsidR="00A2745C" w:rsidRPr="00A2745C" w:rsidRDefault="00A2745C" w:rsidP="00A2745C">
                  <w:pPr>
                    <w:jc w:val="right"/>
                    <w:rPr>
                      <w:rFonts w:eastAsia="Times New Roman"/>
                      <w:sz w:val="20"/>
                      <w:szCs w:val="20"/>
                      <w:lang w:eastAsia="en-GB"/>
                    </w:rPr>
                  </w:pPr>
                  <w:r w:rsidRPr="00A2745C">
                    <w:rPr>
                      <w:rFonts w:eastAsia="Times New Roman"/>
                      <w:sz w:val="20"/>
                      <w:szCs w:val="20"/>
                      <w:lang w:eastAsia="en-GB"/>
                    </w:rPr>
                    <w:t>£1,412,902.93</w:t>
                  </w:r>
                </w:p>
              </w:tc>
            </w:tr>
          </w:tbl>
          <w:p w:rsidR="00A2745C" w:rsidRDefault="00A2745C" w:rsidP="00974F90">
            <w:pPr>
              <w:pStyle w:val="ListParagraph"/>
              <w:ind w:left="0"/>
            </w:pPr>
          </w:p>
          <w:p w:rsidR="00A2745C" w:rsidRDefault="00A2745C" w:rsidP="00974F90">
            <w:pPr>
              <w:pStyle w:val="ListParagraph"/>
              <w:ind w:left="0"/>
            </w:pPr>
          </w:p>
          <w:p w:rsidR="00A2745C" w:rsidRDefault="00A2745C" w:rsidP="00974F90">
            <w:pPr>
              <w:pStyle w:val="ListParagraph"/>
              <w:ind w:left="0"/>
            </w:pPr>
          </w:p>
          <w:p w:rsidR="00A2745C" w:rsidRDefault="00A2745C" w:rsidP="00974F90">
            <w:pPr>
              <w:pStyle w:val="ListParagraph"/>
              <w:ind w:left="0"/>
            </w:pPr>
          </w:p>
          <w:p w:rsidR="00A2745C" w:rsidRDefault="00A2745C" w:rsidP="00974F90">
            <w:pPr>
              <w:pStyle w:val="ListParagraph"/>
              <w:ind w:left="0"/>
            </w:pPr>
          </w:p>
          <w:p w:rsidR="00A2745C" w:rsidRDefault="00A2745C" w:rsidP="00974F90">
            <w:pPr>
              <w:pStyle w:val="ListParagraph"/>
              <w:ind w:left="0"/>
            </w:pPr>
          </w:p>
          <w:p w:rsidR="00A2745C" w:rsidRDefault="00A2745C" w:rsidP="00974F90">
            <w:pPr>
              <w:pStyle w:val="ListParagraph"/>
              <w:ind w:left="0"/>
            </w:pPr>
          </w:p>
        </w:tc>
      </w:tr>
    </w:tbl>
    <w:p w:rsidR="00974F90" w:rsidRDefault="00974F90" w:rsidP="00F03377">
      <w:pPr>
        <w:pStyle w:val="ListParagraph"/>
        <w:ind w:left="0"/>
      </w:pPr>
    </w:p>
    <w:p w:rsidR="009A226D" w:rsidRDefault="009A226D" w:rsidP="00974F90">
      <w:pPr>
        <w:pStyle w:val="ListParagraph"/>
        <w:numPr>
          <w:ilvl w:val="1"/>
          <w:numId w:val="1"/>
        </w:numPr>
        <w:ind w:left="709" w:hanging="709"/>
      </w:pPr>
      <w:r>
        <w:t>Detail the cost and funding over the full term of the contract</w:t>
      </w:r>
      <w:r w:rsidR="00286213">
        <w:t>.</w:t>
      </w:r>
    </w:p>
    <w:tbl>
      <w:tblPr>
        <w:tblStyle w:val="TableGrid"/>
        <w:tblW w:w="9640" w:type="dxa"/>
        <w:tblInd w:w="-34" w:type="dxa"/>
        <w:tblLook w:val="04A0" w:firstRow="1" w:lastRow="0" w:firstColumn="1" w:lastColumn="0" w:noHBand="0" w:noVBand="1"/>
      </w:tblPr>
      <w:tblGrid>
        <w:gridCol w:w="3261"/>
        <w:gridCol w:w="1275"/>
        <w:gridCol w:w="1276"/>
        <w:gridCol w:w="1276"/>
        <w:gridCol w:w="1276"/>
        <w:gridCol w:w="1276"/>
      </w:tblGrid>
      <w:tr w:rsidR="00974F90" w:rsidTr="00974F90">
        <w:tc>
          <w:tcPr>
            <w:tcW w:w="3261" w:type="dxa"/>
            <w:tcBorders>
              <w:top w:val="nil"/>
              <w:left w:val="nil"/>
            </w:tcBorders>
          </w:tcPr>
          <w:p w:rsidR="00974F90" w:rsidRDefault="00974F90" w:rsidP="009A226D">
            <w:pPr>
              <w:pStyle w:val="ListParagraph"/>
              <w:ind w:left="0"/>
            </w:pPr>
          </w:p>
        </w:tc>
        <w:tc>
          <w:tcPr>
            <w:tcW w:w="1275" w:type="dxa"/>
            <w:shd w:val="clear" w:color="auto" w:fill="3333FF"/>
          </w:tcPr>
          <w:p w:rsidR="00974F90" w:rsidRPr="009A226D" w:rsidRDefault="00974F90" w:rsidP="009A226D">
            <w:pPr>
              <w:pStyle w:val="ListParagraph"/>
              <w:ind w:left="0"/>
              <w:jc w:val="center"/>
              <w:rPr>
                <w:b/>
                <w:color w:val="FFFFFF" w:themeColor="background1"/>
              </w:rPr>
            </w:pPr>
            <w:r w:rsidRPr="009A226D">
              <w:rPr>
                <w:b/>
                <w:color w:val="FFFFFF" w:themeColor="background1"/>
              </w:rPr>
              <w:t xml:space="preserve">Capital </w:t>
            </w:r>
            <w:r>
              <w:rPr>
                <w:b/>
                <w:color w:val="FFFFFF" w:themeColor="background1"/>
              </w:rPr>
              <w:t xml:space="preserve"> </w:t>
            </w:r>
            <w:r w:rsidRPr="009A226D">
              <w:rPr>
                <w:b/>
                <w:color w:val="FFFFFF" w:themeColor="background1"/>
              </w:rPr>
              <w:t>£</w:t>
            </w:r>
          </w:p>
        </w:tc>
        <w:tc>
          <w:tcPr>
            <w:tcW w:w="1276" w:type="dxa"/>
            <w:shd w:val="clear" w:color="auto" w:fill="3333FF"/>
          </w:tcPr>
          <w:p w:rsidR="00974F90" w:rsidRPr="009A226D" w:rsidRDefault="00974F90" w:rsidP="009A226D">
            <w:pPr>
              <w:pStyle w:val="ListParagraph"/>
              <w:ind w:left="0"/>
              <w:jc w:val="center"/>
              <w:rPr>
                <w:b/>
                <w:color w:val="FFFFFF" w:themeColor="background1"/>
              </w:rPr>
            </w:pPr>
            <w:r w:rsidRPr="009A226D">
              <w:rPr>
                <w:b/>
                <w:color w:val="FFFFFF" w:themeColor="background1"/>
              </w:rPr>
              <w:t>Revenue £</w:t>
            </w:r>
          </w:p>
        </w:tc>
        <w:tc>
          <w:tcPr>
            <w:tcW w:w="1276" w:type="dxa"/>
            <w:shd w:val="clear" w:color="auto" w:fill="3333FF"/>
          </w:tcPr>
          <w:p w:rsidR="00974F90" w:rsidRPr="009A226D" w:rsidRDefault="00974F90" w:rsidP="009A226D">
            <w:pPr>
              <w:pStyle w:val="ListParagraph"/>
              <w:ind w:left="0"/>
              <w:jc w:val="center"/>
              <w:rPr>
                <w:b/>
                <w:color w:val="FFFFFF" w:themeColor="background1"/>
              </w:rPr>
            </w:pPr>
            <w:r>
              <w:rPr>
                <w:b/>
                <w:color w:val="FFFFFF" w:themeColor="background1"/>
              </w:rPr>
              <w:t>HRA       £</w:t>
            </w:r>
          </w:p>
        </w:tc>
        <w:tc>
          <w:tcPr>
            <w:tcW w:w="1276" w:type="dxa"/>
            <w:shd w:val="clear" w:color="auto" w:fill="3333FF"/>
          </w:tcPr>
          <w:p w:rsidR="00974F90" w:rsidRPr="009A226D" w:rsidRDefault="00974F90" w:rsidP="009A226D">
            <w:pPr>
              <w:pStyle w:val="ListParagraph"/>
              <w:ind w:left="0"/>
              <w:jc w:val="center"/>
              <w:rPr>
                <w:b/>
                <w:color w:val="FFFFFF" w:themeColor="background1"/>
              </w:rPr>
            </w:pPr>
            <w:r>
              <w:rPr>
                <w:b/>
                <w:color w:val="FFFFFF" w:themeColor="background1"/>
              </w:rPr>
              <w:t>Grant     £</w:t>
            </w:r>
          </w:p>
        </w:tc>
        <w:tc>
          <w:tcPr>
            <w:tcW w:w="1276" w:type="dxa"/>
            <w:shd w:val="clear" w:color="auto" w:fill="3333FF"/>
          </w:tcPr>
          <w:p w:rsidR="00974F90" w:rsidRPr="009A226D" w:rsidRDefault="00974F90" w:rsidP="009A226D">
            <w:pPr>
              <w:pStyle w:val="ListParagraph"/>
              <w:ind w:left="0"/>
              <w:jc w:val="center"/>
              <w:rPr>
                <w:b/>
                <w:color w:val="FFFFFF" w:themeColor="background1"/>
              </w:rPr>
            </w:pPr>
            <w:r w:rsidRPr="009A226D">
              <w:rPr>
                <w:b/>
                <w:color w:val="FFFFFF" w:themeColor="background1"/>
              </w:rPr>
              <w:t xml:space="preserve">Total </w:t>
            </w:r>
            <w:r>
              <w:rPr>
                <w:b/>
                <w:color w:val="FFFFFF" w:themeColor="background1"/>
              </w:rPr>
              <w:t xml:space="preserve">     </w:t>
            </w:r>
            <w:r w:rsidRPr="009A226D">
              <w:rPr>
                <w:b/>
                <w:color w:val="FFFFFF" w:themeColor="background1"/>
              </w:rPr>
              <w:t>£</w:t>
            </w:r>
          </w:p>
        </w:tc>
      </w:tr>
      <w:tr w:rsidR="00974F90" w:rsidTr="00974F90">
        <w:tc>
          <w:tcPr>
            <w:tcW w:w="3261" w:type="dxa"/>
          </w:tcPr>
          <w:p w:rsidR="00974F90" w:rsidRDefault="00974F90" w:rsidP="009A226D">
            <w:pPr>
              <w:pStyle w:val="ListParagraph"/>
              <w:ind w:left="0"/>
            </w:pPr>
            <w:r>
              <w:t>Estimated cost over full term</w:t>
            </w:r>
          </w:p>
        </w:tc>
        <w:tc>
          <w:tcPr>
            <w:tcW w:w="1275" w:type="dxa"/>
          </w:tcPr>
          <w:p w:rsidR="00974F90" w:rsidRDefault="00974F90" w:rsidP="009A226D">
            <w:pPr>
              <w:pStyle w:val="ListParagraph"/>
              <w:ind w:left="0"/>
              <w:jc w:val="right"/>
            </w:pPr>
          </w:p>
        </w:tc>
        <w:tc>
          <w:tcPr>
            <w:tcW w:w="1276" w:type="dxa"/>
          </w:tcPr>
          <w:p w:rsidR="00974F90" w:rsidRDefault="00974F90" w:rsidP="009A226D">
            <w:pPr>
              <w:pStyle w:val="ListParagraph"/>
              <w:ind w:left="0"/>
              <w:jc w:val="right"/>
            </w:pPr>
          </w:p>
        </w:tc>
        <w:tc>
          <w:tcPr>
            <w:tcW w:w="1276" w:type="dxa"/>
          </w:tcPr>
          <w:p w:rsidR="00974F90" w:rsidRDefault="00974F90" w:rsidP="009A226D">
            <w:pPr>
              <w:pStyle w:val="ListParagraph"/>
              <w:ind w:left="0"/>
              <w:jc w:val="right"/>
            </w:pPr>
          </w:p>
        </w:tc>
        <w:tc>
          <w:tcPr>
            <w:tcW w:w="1276" w:type="dxa"/>
          </w:tcPr>
          <w:p w:rsidR="00974F90" w:rsidRDefault="00974F90" w:rsidP="009A226D">
            <w:pPr>
              <w:pStyle w:val="ListParagraph"/>
              <w:ind w:left="0"/>
              <w:jc w:val="right"/>
            </w:pPr>
          </w:p>
        </w:tc>
        <w:tc>
          <w:tcPr>
            <w:tcW w:w="1276" w:type="dxa"/>
          </w:tcPr>
          <w:p w:rsidR="00974F90" w:rsidRDefault="00974F90" w:rsidP="009A226D">
            <w:pPr>
              <w:pStyle w:val="ListParagraph"/>
              <w:ind w:left="0"/>
              <w:jc w:val="right"/>
            </w:pPr>
          </w:p>
        </w:tc>
      </w:tr>
      <w:tr w:rsidR="00974F90" w:rsidTr="00974F90">
        <w:tc>
          <w:tcPr>
            <w:tcW w:w="3261" w:type="dxa"/>
          </w:tcPr>
          <w:p w:rsidR="00974F90" w:rsidRDefault="00974F90" w:rsidP="009A226D">
            <w:pPr>
              <w:pStyle w:val="ListParagraph"/>
              <w:ind w:left="0"/>
            </w:pPr>
            <w:r>
              <w:t>Estimated cost per annum</w:t>
            </w:r>
          </w:p>
        </w:tc>
        <w:tc>
          <w:tcPr>
            <w:tcW w:w="1275" w:type="dxa"/>
            <w:tcBorders>
              <w:bottom w:val="single" w:sz="4" w:space="0" w:color="auto"/>
            </w:tcBorders>
          </w:tcPr>
          <w:p w:rsidR="00974F90" w:rsidRDefault="00974F90" w:rsidP="009A226D">
            <w:pPr>
              <w:pStyle w:val="ListParagraph"/>
              <w:ind w:left="0"/>
              <w:jc w:val="right"/>
            </w:pPr>
          </w:p>
        </w:tc>
        <w:tc>
          <w:tcPr>
            <w:tcW w:w="1276" w:type="dxa"/>
            <w:tcBorders>
              <w:bottom w:val="single" w:sz="4" w:space="0" w:color="auto"/>
            </w:tcBorders>
          </w:tcPr>
          <w:p w:rsidR="00974F90" w:rsidRDefault="00974F90" w:rsidP="009A226D">
            <w:pPr>
              <w:pStyle w:val="ListParagraph"/>
              <w:ind w:left="0"/>
              <w:jc w:val="right"/>
            </w:pPr>
          </w:p>
        </w:tc>
        <w:tc>
          <w:tcPr>
            <w:tcW w:w="1276" w:type="dxa"/>
            <w:tcBorders>
              <w:bottom w:val="single" w:sz="4" w:space="0" w:color="auto"/>
            </w:tcBorders>
          </w:tcPr>
          <w:p w:rsidR="00974F90" w:rsidRDefault="00974F90" w:rsidP="009A226D">
            <w:pPr>
              <w:pStyle w:val="ListParagraph"/>
              <w:ind w:left="0"/>
              <w:jc w:val="right"/>
            </w:pPr>
          </w:p>
        </w:tc>
        <w:tc>
          <w:tcPr>
            <w:tcW w:w="1276" w:type="dxa"/>
            <w:tcBorders>
              <w:bottom w:val="single" w:sz="4" w:space="0" w:color="auto"/>
            </w:tcBorders>
          </w:tcPr>
          <w:p w:rsidR="00974F90" w:rsidRDefault="00974F90" w:rsidP="009A226D">
            <w:pPr>
              <w:pStyle w:val="ListParagraph"/>
              <w:ind w:left="0"/>
              <w:jc w:val="right"/>
            </w:pPr>
          </w:p>
        </w:tc>
        <w:tc>
          <w:tcPr>
            <w:tcW w:w="1276" w:type="dxa"/>
            <w:tcBorders>
              <w:bottom w:val="single" w:sz="4" w:space="0" w:color="auto"/>
            </w:tcBorders>
          </w:tcPr>
          <w:p w:rsidR="00974F90" w:rsidRDefault="00974F90" w:rsidP="009A226D">
            <w:pPr>
              <w:pStyle w:val="ListParagraph"/>
              <w:ind w:left="0"/>
              <w:jc w:val="right"/>
            </w:pPr>
          </w:p>
        </w:tc>
      </w:tr>
      <w:tr w:rsidR="00974F90" w:rsidTr="00974F90">
        <w:tc>
          <w:tcPr>
            <w:tcW w:w="3261" w:type="dxa"/>
          </w:tcPr>
          <w:p w:rsidR="00974F90" w:rsidRDefault="00974F90" w:rsidP="009A226D">
            <w:pPr>
              <w:pStyle w:val="ListParagraph"/>
              <w:ind w:left="0"/>
            </w:pPr>
            <w:r>
              <w:t>Total funding</w:t>
            </w:r>
          </w:p>
        </w:tc>
        <w:tc>
          <w:tcPr>
            <w:tcW w:w="1275" w:type="dxa"/>
            <w:shd w:val="clear" w:color="auto" w:fill="C6D9F1" w:themeFill="text2" w:themeFillTint="33"/>
          </w:tcPr>
          <w:p w:rsidR="00974F90" w:rsidRDefault="00974F90" w:rsidP="009A226D">
            <w:pPr>
              <w:pStyle w:val="ListParagraph"/>
              <w:ind w:left="0"/>
              <w:jc w:val="right"/>
            </w:pPr>
          </w:p>
        </w:tc>
        <w:tc>
          <w:tcPr>
            <w:tcW w:w="1276" w:type="dxa"/>
            <w:tcBorders>
              <w:bottom w:val="single" w:sz="4" w:space="0" w:color="auto"/>
            </w:tcBorders>
            <w:shd w:val="clear" w:color="auto" w:fill="C6D9F1" w:themeFill="text2" w:themeFillTint="33"/>
          </w:tcPr>
          <w:p w:rsidR="00974F90" w:rsidRDefault="00974F90" w:rsidP="009A226D">
            <w:pPr>
              <w:pStyle w:val="ListParagraph"/>
              <w:ind w:left="0"/>
              <w:jc w:val="right"/>
            </w:pPr>
          </w:p>
        </w:tc>
        <w:tc>
          <w:tcPr>
            <w:tcW w:w="1276" w:type="dxa"/>
            <w:shd w:val="clear" w:color="auto" w:fill="C6D9F1" w:themeFill="text2" w:themeFillTint="33"/>
          </w:tcPr>
          <w:p w:rsidR="00974F90" w:rsidRDefault="00974F90" w:rsidP="009A226D">
            <w:pPr>
              <w:pStyle w:val="ListParagraph"/>
              <w:ind w:left="0"/>
              <w:jc w:val="right"/>
            </w:pPr>
          </w:p>
        </w:tc>
        <w:tc>
          <w:tcPr>
            <w:tcW w:w="1276" w:type="dxa"/>
            <w:shd w:val="clear" w:color="auto" w:fill="C6D9F1" w:themeFill="text2" w:themeFillTint="33"/>
          </w:tcPr>
          <w:p w:rsidR="00974F90" w:rsidRDefault="00974F90" w:rsidP="009A226D">
            <w:pPr>
              <w:pStyle w:val="ListParagraph"/>
              <w:ind w:left="0"/>
              <w:jc w:val="right"/>
            </w:pPr>
          </w:p>
        </w:tc>
        <w:tc>
          <w:tcPr>
            <w:tcW w:w="1276" w:type="dxa"/>
            <w:shd w:val="clear" w:color="auto" w:fill="C6D9F1" w:themeFill="text2" w:themeFillTint="33"/>
          </w:tcPr>
          <w:p w:rsidR="00974F90" w:rsidRDefault="00974F90" w:rsidP="009A226D">
            <w:pPr>
              <w:pStyle w:val="ListParagraph"/>
              <w:ind w:left="0"/>
              <w:jc w:val="right"/>
            </w:pPr>
          </w:p>
        </w:tc>
      </w:tr>
    </w:tbl>
    <w:p w:rsidR="009A226D" w:rsidRDefault="009A226D" w:rsidP="009A226D">
      <w:pPr>
        <w:pStyle w:val="ListParagraph"/>
        <w:ind w:left="1080"/>
      </w:pPr>
    </w:p>
    <w:p w:rsidR="002B1AC3" w:rsidRDefault="002B1AC3" w:rsidP="00974F90">
      <w:pPr>
        <w:pStyle w:val="ListParagraph"/>
        <w:numPr>
          <w:ilvl w:val="1"/>
          <w:numId w:val="1"/>
        </w:numPr>
        <w:ind w:left="709" w:hanging="709"/>
      </w:pPr>
      <w:r>
        <w:t>Provide details for any grant funding or third party contribution</w:t>
      </w:r>
      <w:r w:rsidR="00286213">
        <w:t>.</w:t>
      </w:r>
    </w:p>
    <w:tbl>
      <w:tblPr>
        <w:tblStyle w:val="TableGrid"/>
        <w:tblW w:w="9606" w:type="dxa"/>
        <w:tblLook w:val="04A0" w:firstRow="1" w:lastRow="0" w:firstColumn="1" w:lastColumn="0" w:noHBand="0" w:noVBand="1"/>
      </w:tblPr>
      <w:tblGrid>
        <w:gridCol w:w="9606"/>
      </w:tblGrid>
      <w:tr w:rsidR="002B1AC3" w:rsidTr="00EA38F7">
        <w:tc>
          <w:tcPr>
            <w:tcW w:w="9606" w:type="dxa"/>
          </w:tcPr>
          <w:p w:rsidR="002B1AC3" w:rsidRDefault="001F4F37" w:rsidP="00EA38F7">
            <w:pPr>
              <w:pStyle w:val="ListParagraph"/>
              <w:ind w:left="0" w:right="-472"/>
            </w:pPr>
            <w:r>
              <w:t>None</w:t>
            </w:r>
          </w:p>
        </w:tc>
      </w:tr>
    </w:tbl>
    <w:p w:rsidR="002B1AC3" w:rsidRDefault="002B1AC3" w:rsidP="002B1AC3">
      <w:pPr>
        <w:pStyle w:val="ListParagraph"/>
        <w:ind w:left="1080"/>
      </w:pPr>
    </w:p>
    <w:p w:rsidR="002B1AC3" w:rsidRDefault="002B1AC3" w:rsidP="002B1AC3">
      <w:pPr>
        <w:pStyle w:val="ListParagraph"/>
        <w:numPr>
          <w:ilvl w:val="1"/>
          <w:numId w:val="1"/>
        </w:numPr>
        <w:ind w:left="0" w:firstLine="0"/>
      </w:pPr>
      <w:r>
        <w:t>Funding has been confirmed by the Finance Business Partner?</w:t>
      </w:r>
      <w:r>
        <w:tab/>
        <w:t>Yes</w:t>
      </w:r>
    </w:p>
    <w:p w:rsidR="002B1AC3" w:rsidRPr="00CA7071" w:rsidRDefault="00CA7071" w:rsidP="002B1AC3">
      <w:pPr>
        <w:pStyle w:val="ListParagraph"/>
        <w:ind w:left="0"/>
        <w:rPr>
          <w:b/>
          <w:i/>
          <w:color w:val="FF0000"/>
          <w:sz w:val="20"/>
          <w:szCs w:val="20"/>
        </w:rPr>
      </w:pPr>
      <w:r w:rsidRPr="00CA7071">
        <w:rPr>
          <w:b/>
          <w:i/>
          <w:color w:val="FF0000"/>
          <w:sz w:val="20"/>
          <w:szCs w:val="20"/>
        </w:rPr>
        <w:t>Note – the procurement should not commence without funding being confirmed!</w:t>
      </w:r>
    </w:p>
    <w:p w:rsidR="00CA7071" w:rsidRDefault="00CA7071" w:rsidP="002B1AC3">
      <w:pPr>
        <w:pStyle w:val="ListParagraph"/>
        <w:ind w:left="0"/>
      </w:pPr>
    </w:p>
    <w:p w:rsidR="002B1AC3" w:rsidRDefault="002B1AC3" w:rsidP="002B1AC3">
      <w:pPr>
        <w:pStyle w:val="ListParagraph"/>
        <w:numPr>
          <w:ilvl w:val="1"/>
          <w:numId w:val="1"/>
        </w:numPr>
        <w:ind w:left="0" w:firstLine="0"/>
      </w:pPr>
      <w:r>
        <w:t>Forecast and type of savings</w:t>
      </w:r>
      <w:r w:rsidR="00286213">
        <w:t>.</w:t>
      </w:r>
    </w:p>
    <w:tbl>
      <w:tblPr>
        <w:tblStyle w:val="TableGrid"/>
        <w:tblW w:w="0" w:type="auto"/>
        <w:tblLook w:val="04A0" w:firstRow="1" w:lastRow="0" w:firstColumn="1" w:lastColumn="0" w:noHBand="0" w:noVBand="1"/>
      </w:tblPr>
      <w:tblGrid>
        <w:gridCol w:w="2310"/>
        <w:gridCol w:w="2310"/>
        <w:gridCol w:w="2311"/>
      </w:tblGrid>
      <w:tr w:rsidR="00855B24" w:rsidTr="00855B24">
        <w:tc>
          <w:tcPr>
            <w:tcW w:w="2310" w:type="dxa"/>
            <w:tcBorders>
              <w:top w:val="nil"/>
              <w:left w:val="nil"/>
            </w:tcBorders>
          </w:tcPr>
          <w:p w:rsidR="00855B24" w:rsidRDefault="00855B24" w:rsidP="002B1AC3">
            <w:pPr>
              <w:pStyle w:val="ListParagraph"/>
              <w:ind w:left="0"/>
            </w:pPr>
          </w:p>
        </w:tc>
        <w:tc>
          <w:tcPr>
            <w:tcW w:w="2310" w:type="dxa"/>
            <w:shd w:val="clear" w:color="auto" w:fill="6666FF"/>
          </w:tcPr>
          <w:p w:rsidR="00855B24" w:rsidRDefault="00855B24" w:rsidP="00855B24">
            <w:pPr>
              <w:pStyle w:val="ListParagraph"/>
              <w:ind w:left="0"/>
              <w:jc w:val="center"/>
              <w:rPr>
                <w:b/>
                <w:color w:val="FFFFFF" w:themeColor="background1"/>
              </w:rPr>
            </w:pPr>
            <w:r w:rsidRPr="00855B24">
              <w:rPr>
                <w:b/>
                <w:color w:val="FFFFFF" w:themeColor="background1"/>
              </w:rPr>
              <w:t>One-off</w:t>
            </w:r>
          </w:p>
          <w:p w:rsidR="00855B24" w:rsidRPr="00855B24" w:rsidRDefault="00855B24" w:rsidP="00855B24">
            <w:pPr>
              <w:pStyle w:val="ListParagraph"/>
              <w:ind w:left="0"/>
              <w:jc w:val="center"/>
              <w:rPr>
                <w:b/>
                <w:color w:val="FFFFFF" w:themeColor="background1"/>
              </w:rPr>
            </w:pPr>
            <w:r>
              <w:rPr>
                <w:b/>
                <w:color w:val="FFFFFF" w:themeColor="background1"/>
              </w:rPr>
              <w:t>£</w:t>
            </w:r>
          </w:p>
        </w:tc>
        <w:tc>
          <w:tcPr>
            <w:tcW w:w="2311" w:type="dxa"/>
            <w:shd w:val="clear" w:color="auto" w:fill="6666FF"/>
          </w:tcPr>
          <w:p w:rsidR="00855B24" w:rsidRDefault="00855B24" w:rsidP="00855B24">
            <w:pPr>
              <w:pStyle w:val="ListParagraph"/>
              <w:ind w:left="0"/>
              <w:jc w:val="center"/>
              <w:rPr>
                <w:b/>
                <w:color w:val="FFFFFF" w:themeColor="background1"/>
              </w:rPr>
            </w:pPr>
            <w:r w:rsidRPr="00855B24">
              <w:rPr>
                <w:b/>
                <w:color w:val="FFFFFF" w:themeColor="background1"/>
              </w:rPr>
              <w:t>Recurring</w:t>
            </w:r>
          </w:p>
          <w:p w:rsidR="00855B24" w:rsidRPr="00855B24" w:rsidRDefault="00855B24" w:rsidP="00855B24">
            <w:pPr>
              <w:pStyle w:val="ListParagraph"/>
              <w:ind w:left="0"/>
              <w:jc w:val="center"/>
              <w:rPr>
                <w:b/>
                <w:color w:val="FFFFFF" w:themeColor="background1"/>
              </w:rPr>
            </w:pPr>
            <w:r>
              <w:rPr>
                <w:b/>
                <w:color w:val="FFFFFF" w:themeColor="background1"/>
              </w:rPr>
              <w:t>£</w:t>
            </w:r>
          </w:p>
        </w:tc>
      </w:tr>
      <w:tr w:rsidR="00855B24" w:rsidTr="002B1AC3">
        <w:tc>
          <w:tcPr>
            <w:tcW w:w="2310" w:type="dxa"/>
          </w:tcPr>
          <w:p w:rsidR="00855B24" w:rsidRDefault="00855B24" w:rsidP="002B1AC3">
            <w:pPr>
              <w:pStyle w:val="ListParagraph"/>
              <w:ind w:left="0"/>
            </w:pPr>
            <w:r>
              <w:t>Cashable</w:t>
            </w:r>
          </w:p>
        </w:tc>
        <w:tc>
          <w:tcPr>
            <w:tcW w:w="2310" w:type="dxa"/>
          </w:tcPr>
          <w:p w:rsidR="00855B24" w:rsidRDefault="00855B24" w:rsidP="002B1AC3">
            <w:pPr>
              <w:pStyle w:val="ListParagraph"/>
              <w:ind w:left="0"/>
            </w:pPr>
          </w:p>
        </w:tc>
        <w:tc>
          <w:tcPr>
            <w:tcW w:w="2311" w:type="dxa"/>
          </w:tcPr>
          <w:p w:rsidR="00855B24" w:rsidRDefault="00855B24" w:rsidP="002B1AC3">
            <w:pPr>
              <w:pStyle w:val="ListParagraph"/>
              <w:ind w:left="0"/>
            </w:pPr>
          </w:p>
        </w:tc>
      </w:tr>
      <w:tr w:rsidR="00855B24" w:rsidTr="002B1AC3">
        <w:tc>
          <w:tcPr>
            <w:tcW w:w="2310" w:type="dxa"/>
          </w:tcPr>
          <w:p w:rsidR="00855B24" w:rsidRDefault="00855B24" w:rsidP="002B1AC3">
            <w:pPr>
              <w:pStyle w:val="ListParagraph"/>
              <w:ind w:left="0"/>
            </w:pPr>
            <w:r>
              <w:t>Non-cashable</w:t>
            </w:r>
          </w:p>
        </w:tc>
        <w:tc>
          <w:tcPr>
            <w:tcW w:w="2310" w:type="dxa"/>
          </w:tcPr>
          <w:p w:rsidR="00855B24" w:rsidRDefault="00855B24" w:rsidP="002B1AC3">
            <w:pPr>
              <w:pStyle w:val="ListParagraph"/>
              <w:ind w:left="0"/>
            </w:pPr>
          </w:p>
        </w:tc>
        <w:tc>
          <w:tcPr>
            <w:tcW w:w="2311" w:type="dxa"/>
          </w:tcPr>
          <w:p w:rsidR="00855B24" w:rsidRDefault="00855B24" w:rsidP="002B1AC3">
            <w:pPr>
              <w:pStyle w:val="ListParagraph"/>
              <w:ind w:left="0"/>
            </w:pPr>
          </w:p>
        </w:tc>
      </w:tr>
    </w:tbl>
    <w:p w:rsidR="00855B24" w:rsidRDefault="00855B24" w:rsidP="00855B24">
      <w:pPr>
        <w:pStyle w:val="ListParagraph"/>
        <w:ind w:left="709"/>
      </w:pPr>
    </w:p>
    <w:p w:rsidR="00855B24" w:rsidRDefault="00855B24" w:rsidP="00855B24">
      <w:pPr>
        <w:pStyle w:val="ListParagraph"/>
        <w:numPr>
          <w:ilvl w:val="1"/>
          <w:numId w:val="1"/>
        </w:numPr>
        <w:ind w:left="709" w:hanging="709"/>
      </w:pPr>
      <w:r>
        <w:t>State any saving that can be claimed by Procurement.</w:t>
      </w:r>
    </w:p>
    <w:tbl>
      <w:tblPr>
        <w:tblStyle w:val="TableGrid"/>
        <w:tblW w:w="9606" w:type="dxa"/>
        <w:tblLook w:val="04A0" w:firstRow="1" w:lastRow="0" w:firstColumn="1" w:lastColumn="0" w:noHBand="0" w:noVBand="1"/>
      </w:tblPr>
      <w:tblGrid>
        <w:gridCol w:w="9606"/>
      </w:tblGrid>
      <w:tr w:rsidR="00855B24" w:rsidTr="00597FF3">
        <w:tc>
          <w:tcPr>
            <w:tcW w:w="9606" w:type="dxa"/>
          </w:tcPr>
          <w:p w:rsidR="00855B24" w:rsidRDefault="00855B24" w:rsidP="00597FF3">
            <w:pPr>
              <w:pStyle w:val="ListParagraph"/>
              <w:ind w:left="0"/>
            </w:pPr>
          </w:p>
        </w:tc>
      </w:tr>
    </w:tbl>
    <w:p w:rsidR="002B1AC3" w:rsidRDefault="002B1AC3" w:rsidP="002B1AC3">
      <w:pPr>
        <w:pStyle w:val="ListParagraph"/>
      </w:pPr>
    </w:p>
    <w:p w:rsidR="002B1AC3" w:rsidRDefault="009B52AD" w:rsidP="002B1AC3">
      <w:pPr>
        <w:pStyle w:val="ListParagraph"/>
        <w:numPr>
          <w:ilvl w:val="1"/>
          <w:numId w:val="1"/>
        </w:numPr>
        <w:ind w:left="0" w:firstLine="0"/>
      </w:pPr>
      <w:r>
        <w:t>Describe any risks that would prevent benefit realisation</w:t>
      </w:r>
      <w:r w:rsidR="00286213">
        <w:t>.</w:t>
      </w:r>
    </w:p>
    <w:tbl>
      <w:tblPr>
        <w:tblStyle w:val="TableGrid"/>
        <w:tblW w:w="9606" w:type="dxa"/>
        <w:tblLook w:val="04A0" w:firstRow="1" w:lastRow="0" w:firstColumn="1" w:lastColumn="0" w:noHBand="0" w:noVBand="1"/>
      </w:tblPr>
      <w:tblGrid>
        <w:gridCol w:w="9606"/>
      </w:tblGrid>
      <w:tr w:rsidR="002B1AC3" w:rsidTr="00EA38F7">
        <w:tc>
          <w:tcPr>
            <w:tcW w:w="9606" w:type="dxa"/>
          </w:tcPr>
          <w:p w:rsidR="002B1AC3" w:rsidRDefault="002E4E70" w:rsidP="004D1623">
            <w:pPr>
              <w:pStyle w:val="ListParagraph"/>
              <w:ind w:left="0"/>
            </w:pPr>
            <w:r>
              <w:t>Global incident that materially affected the supply of gas / water / electricity</w:t>
            </w:r>
          </w:p>
        </w:tc>
      </w:tr>
    </w:tbl>
    <w:p w:rsidR="009A226D" w:rsidRDefault="009A226D" w:rsidP="00F03377">
      <w:pPr>
        <w:pStyle w:val="ListParagraph"/>
        <w:ind w:left="0"/>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333FF"/>
        <w:tblLook w:val="04A0" w:firstRow="1" w:lastRow="0" w:firstColumn="1" w:lastColumn="0" w:noHBand="0" w:noVBand="1"/>
      </w:tblPr>
      <w:tblGrid>
        <w:gridCol w:w="9606"/>
      </w:tblGrid>
      <w:tr w:rsidR="001A76AF" w:rsidRPr="001A76AF" w:rsidTr="00EA38F7">
        <w:tc>
          <w:tcPr>
            <w:tcW w:w="9606" w:type="dxa"/>
            <w:shd w:val="clear" w:color="auto" w:fill="3333FF"/>
          </w:tcPr>
          <w:p w:rsidR="001A76AF" w:rsidRPr="001A76AF" w:rsidRDefault="00B91858" w:rsidP="004D1623">
            <w:pPr>
              <w:pStyle w:val="ListParagraph"/>
              <w:numPr>
                <w:ilvl w:val="0"/>
                <w:numId w:val="1"/>
              </w:numPr>
              <w:spacing w:before="40" w:after="40"/>
              <w:ind w:left="567" w:hanging="567"/>
              <w:rPr>
                <w:b/>
                <w:color w:val="FFFFFF" w:themeColor="background1"/>
              </w:rPr>
            </w:pPr>
            <w:r>
              <w:rPr>
                <w:b/>
                <w:color w:val="FFFFFF" w:themeColor="background1"/>
              </w:rPr>
              <w:t>CONTRACT</w:t>
            </w:r>
            <w:r w:rsidR="001A76AF">
              <w:rPr>
                <w:b/>
                <w:color w:val="FFFFFF" w:themeColor="background1"/>
              </w:rPr>
              <w:t xml:space="preserve"> STRATEGY</w:t>
            </w:r>
          </w:p>
        </w:tc>
      </w:tr>
    </w:tbl>
    <w:p w:rsidR="001A76AF" w:rsidRDefault="001A76AF" w:rsidP="00F03377">
      <w:pPr>
        <w:pStyle w:val="ListParagraph"/>
        <w:ind w:left="0"/>
      </w:pPr>
    </w:p>
    <w:p w:rsidR="00F03377" w:rsidRDefault="00DE2929" w:rsidP="007D720E">
      <w:pPr>
        <w:pStyle w:val="ListParagraph"/>
        <w:numPr>
          <w:ilvl w:val="1"/>
          <w:numId w:val="1"/>
        </w:numPr>
        <w:ind w:left="0" w:firstLine="0"/>
      </w:pPr>
      <w:r>
        <w:t xml:space="preserve">Describe the </w:t>
      </w:r>
      <w:r w:rsidR="00B91858">
        <w:t xml:space="preserve">opportunities </w:t>
      </w:r>
      <w:r>
        <w:t>for</w:t>
      </w:r>
      <w:r w:rsidR="00B91858">
        <w:t xml:space="preserve"> collaboration</w:t>
      </w:r>
      <w:r>
        <w:t xml:space="preserve"> with partners</w:t>
      </w:r>
      <w:r w:rsidR="00286213">
        <w:t>.</w:t>
      </w:r>
    </w:p>
    <w:tbl>
      <w:tblPr>
        <w:tblStyle w:val="TableGrid"/>
        <w:tblW w:w="9606" w:type="dxa"/>
        <w:tblLook w:val="04A0" w:firstRow="1" w:lastRow="0" w:firstColumn="1" w:lastColumn="0" w:noHBand="0" w:noVBand="1"/>
      </w:tblPr>
      <w:tblGrid>
        <w:gridCol w:w="9606"/>
      </w:tblGrid>
      <w:tr w:rsidR="00F03377" w:rsidTr="00EA38F7">
        <w:tc>
          <w:tcPr>
            <w:tcW w:w="9606" w:type="dxa"/>
          </w:tcPr>
          <w:p w:rsidR="00F03377" w:rsidRDefault="002E4E70" w:rsidP="00066709">
            <w:pPr>
              <w:pStyle w:val="ListParagraph"/>
              <w:ind w:left="0"/>
            </w:pPr>
            <w:r>
              <w:t>At the planni</w:t>
            </w:r>
            <w:r w:rsidR="00066709">
              <w:t>ng stage of this procurement, the team</w:t>
            </w:r>
            <w:r>
              <w:t xml:space="preserve"> had detailed discussions with West Oxfordshire District Council and then latterly with GO Shared Se</w:t>
            </w:r>
            <w:r w:rsidR="007E52A0">
              <w:t>r</w:t>
            </w:r>
            <w:r>
              <w:t>vices</w:t>
            </w:r>
            <w:r w:rsidR="007E52A0">
              <w:t xml:space="preserve"> to investigate whether collaboration would lead to any significant market leverage or other benefits in the market (see 3.2) </w:t>
            </w:r>
            <w:r w:rsidR="00E937B4">
              <w:t>This has, however, given the procurement team the opportunity to sell its</w:t>
            </w:r>
            <w:r w:rsidR="00066709">
              <w:t xml:space="preserve"> procurement </w:t>
            </w:r>
            <w:r w:rsidR="00E937B4">
              <w:t xml:space="preserve">services to both Cotswold District Council and Cheltenham Borough Council. </w:t>
            </w:r>
            <w:r w:rsidR="00414F55">
              <w:t>A further opportunity may arise from this collaboration with Cheltenham Borough Council for Oxford City Council to sell its Energy Bureau Services, enabling Cheltenham to achieve cashable savings from more proactive energy management solutions.</w:t>
            </w:r>
            <w:r w:rsidR="00066709">
              <w:t xml:space="preserve"> The Energy team continue to explore this opportunity with Cheltenham </w:t>
            </w:r>
            <w:r w:rsidR="00066709">
              <w:lastRenderedPageBreak/>
              <w:t>Borough Council.</w:t>
            </w:r>
          </w:p>
        </w:tc>
      </w:tr>
    </w:tbl>
    <w:p w:rsidR="00F03377" w:rsidRDefault="00F03377" w:rsidP="007D720E">
      <w:pPr>
        <w:pStyle w:val="ListParagraph"/>
        <w:ind w:left="0"/>
      </w:pPr>
    </w:p>
    <w:p w:rsidR="00F03377" w:rsidRDefault="00DE2929" w:rsidP="007D720E">
      <w:pPr>
        <w:pStyle w:val="ListParagraph"/>
        <w:numPr>
          <w:ilvl w:val="1"/>
          <w:numId w:val="1"/>
        </w:numPr>
        <w:ind w:left="709" w:hanging="709"/>
      </w:pPr>
      <w:r>
        <w:t>Describe the market conditions and the leverage the Council has in the market</w:t>
      </w:r>
      <w:r w:rsidR="00286213">
        <w:t>.</w:t>
      </w:r>
    </w:p>
    <w:tbl>
      <w:tblPr>
        <w:tblStyle w:val="TableGrid"/>
        <w:tblW w:w="9606" w:type="dxa"/>
        <w:tblLook w:val="04A0" w:firstRow="1" w:lastRow="0" w:firstColumn="1" w:lastColumn="0" w:noHBand="0" w:noVBand="1"/>
      </w:tblPr>
      <w:tblGrid>
        <w:gridCol w:w="9606"/>
      </w:tblGrid>
      <w:tr w:rsidR="00F03377" w:rsidTr="00EA38F7">
        <w:tc>
          <w:tcPr>
            <w:tcW w:w="9606" w:type="dxa"/>
          </w:tcPr>
          <w:p w:rsidR="00F03377" w:rsidRDefault="00DE2929" w:rsidP="007D720E">
            <w:pPr>
              <w:pStyle w:val="ListParagraph"/>
              <w:ind w:left="0"/>
            </w:pPr>
            <w:r>
              <w:t xml:space="preserve">Complete analysis tools such as </w:t>
            </w:r>
            <w:proofErr w:type="spellStart"/>
            <w:r w:rsidR="007D720E">
              <w:t>Kraljic</w:t>
            </w:r>
            <w:proofErr w:type="spellEnd"/>
            <w:r w:rsidR="007D720E">
              <w:t xml:space="preserve">, </w:t>
            </w:r>
            <w:r>
              <w:t xml:space="preserve">supplier </w:t>
            </w:r>
            <w:proofErr w:type="spellStart"/>
            <w:r>
              <w:t>preferencing</w:t>
            </w:r>
            <w:proofErr w:type="spellEnd"/>
            <w:r>
              <w:t xml:space="preserve">, Porters 5 Forces, </w:t>
            </w:r>
            <w:proofErr w:type="spellStart"/>
            <w:r>
              <w:t>etc</w:t>
            </w:r>
            <w:proofErr w:type="spellEnd"/>
          </w:p>
        </w:tc>
      </w:tr>
    </w:tbl>
    <w:p w:rsidR="00B91858" w:rsidRDefault="00B91858" w:rsidP="007D720E">
      <w:pPr>
        <w:pStyle w:val="ListParagraph"/>
        <w:ind w:left="0"/>
      </w:pPr>
    </w:p>
    <w:p w:rsidR="00B91858" w:rsidRDefault="00DE2929" w:rsidP="007D720E">
      <w:pPr>
        <w:pStyle w:val="ListParagraph"/>
        <w:numPr>
          <w:ilvl w:val="1"/>
          <w:numId w:val="1"/>
        </w:numPr>
        <w:ind w:left="0" w:firstLine="0"/>
      </w:pPr>
      <w:r>
        <w:t>Describe the rationale for the proposed contract term</w:t>
      </w:r>
      <w:r w:rsidR="00286213">
        <w:t>.</w:t>
      </w:r>
    </w:p>
    <w:tbl>
      <w:tblPr>
        <w:tblStyle w:val="TableGrid"/>
        <w:tblW w:w="9606" w:type="dxa"/>
        <w:tblLook w:val="04A0" w:firstRow="1" w:lastRow="0" w:firstColumn="1" w:lastColumn="0" w:noHBand="0" w:noVBand="1"/>
      </w:tblPr>
      <w:tblGrid>
        <w:gridCol w:w="9606"/>
      </w:tblGrid>
      <w:tr w:rsidR="00B91858" w:rsidTr="00EA38F7">
        <w:tc>
          <w:tcPr>
            <w:tcW w:w="9606" w:type="dxa"/>
          </w:tcPr>
          <w:p w:rsidR="00B91858" w:rsidRDefault="00193D85" w:rsidP="007D720E">
            <w:pPr>
              <w:pStyle w:val="ListParagraph"/>
              <w:ind w:left="0"/>
            </w:pPr>
            <w:r>
              <w:t>4 years aligns to the common length of framework period</w:t>
            </w:r>
            <w:r w:rsidR="001534DE">
              <w:t xml:space="preserve"> put in place by Public Sector Buying Organisations. The last Energy Contract was for a 4 year term.</w:t>
            </w:r>
          </w:p>
        </w:tc>
      </w:tr>
    </w:tbl>
    <w:p w:rsidR="00B91858" w:rsidRDefault="00B91858" w:rsidP="007D720E">
      <w:pPr>
        <w:pStyle w:val="ListParagraph"/>
        <w:ind w:left="0"/>
      </w:pPr>
    </w:p>
    <w:p w:rsidR="00B91858" w:rsidRDefault="00DE2929" w:rsidP="007D720E">
      <w:pPr>
        <w:pStyle w:val="ListParagraph"/>
        <w:numPr>
          <w:ilvl w:val="1"/>
          <w:numId w:val="1"/>
        </w:numPr>
        <w:ind w:left="0" w:firstLine="0"/>
      </w:pPr>
      <w:r>
        <w:t>What flexibility is planned to allow for early exit from the contract</w:t>
      </w:r>
      <w:r w:rsidR="00286213">
        <w:t>.</w:t>
      </w:r>
    </w:p>
    <w:tbl>
      <w:tblPr>
        <w:tblStyle w:val="TableGrid"/>
        <w:tblW w:w="9606" w:type="dxa"/>
        <w:tblLook w:val="04A0" w:firstRow="1" w:lastRow="0" w:firstColumn="1" w:lastColumn="0" w:noHBand="0" w:noVBand="1"/>
      </w:tblPr>
      <w:tblGrid>
        <w:gridCol w:w="9606"/>
      </w:tblGrid>
      <w:tr w:rsidR="00B91858" w:rsidTr="00EA38F7">
        <w:tc>
          <w:tcPr>
            <w:tcW w:w="9606" w:type="dxa"/>
          </w:tcPr>
          <w:p w:rsidR="00B91858" w:rsidRDefault="00ED42D8" w:rsidP="00630148">
            <w:pPr>
              <w:pStyle w:val="ListParagraph"/>
              <w:ind w:left="0"/>
            </w:pPr>
            <w:r>
              <w:t>The contract would be locked in for a four year framework period</w:t>
            </w:r>
            <w:r w:rsidR="00630148">
              <w:t xml:space="preserve"> with billing coming from Npower and Total Gas</w:t>
            </w:r>
            <w:r>
              <w:t xml:space="preserve">. This would also ensure that energy purchases can be made </w:t>
            </w:r>
            <w:r w:rsidR="00630148">
              <w:t xml:space="preserve">by LASER on our behalf </w:t>
            </w:r>
            <w:r>
              <w:t>over the full period October 2016 to September 2020 ensuring more chance of a lower energy price.</w:t>
            </w:r>
            <w:r w:rsidR="00C15E8D">
              <w:t xml:space="preserve"> This gives further budget certainty and supply stability. The</w:t>
            </w:r>
            <w:r w:rsidR="00630148">
              <w:t>re</w:t>
            </w:r>
            <w:r w:rsidR="00C15E8D">
              <w:t xml:space="preserve"> is</w:t>
            </w:r>
            <w:r w:rsidR="00630148">
              <w:t xml:space="preserve"> also</w:t>
            </w:r>
            <w:r w:rsidR="00C15E8D">
              <w:t xml:space="preserve"> a large administrative burden involved in changing suppliers on a regular basis given the volumes of invoices/supplies the Council manages (</w:t>
            </w:r>
            <w:proofErr w:type="spellStart"/>
            <w:r w:rsidR="00630148">
              <w:t>ca</w:t>
            </w:r>
            <w:proofErr w:type="spellEnd"/>
            <w:r w:rsidR="00C15E8D">
              <w:t xml:space="preserve"> 1000 electricity, gas and water meters</w:t>
            </w:r>
            <w:r w:rsidR="00630148">
              <w:t xml:space="preserve">) and there would be no benefit in doing so. </w:t>
            </w:r>
            <w:proofErr w:type="gramStart"/>
            <w:r w:rsidR="00630148">
              <w:t>LASER are</w:t>
            </w:r>
            <w:proofErr w:type="gramEnd"/>
            <w:r w:rsidR="00630148">
              <w:t xml:space="preserve"> providing the aggregated, flexible and risk managed energy procurement as recommended as best practice by the Pan Government Energy Project.</w:t>
            </w:r>
          </w:p>
        </w:tc>
      </w:tr>
    </w:tbl>
    <w:p w:rsidR="00F03377" w:rsidRDefault="00F03377" w:rsidP="007D720E">
      <w:pPr>
        <w:pStyle w:val="ListParagraph"/>
        <w:ind w:left="0"/>
      </w:pPr>
    </w:p>
    <w:p w:rsidR="00B91858" w:rsidRDefault="00DE2929" w:rsidP="007D720E">
      <w:pPr>
        <w:pStyle w:val="ListParagraph"/>
        <w:numPr>
          <w:ilvl w:val="1"/>
          <w:numId w:val="1"/>
        </w:numPr>
        <w:ind w:left="709" w:hanging="709"/>
      </w:pPr>
      <w:r>
        <w:t>If Services, describe how the Social Value Act or Corporate Social Responsibilities can be included</w:t>
      </w:r>
      <w:r w:rsidR="00286213">
        <w:t>.</w:t>
      </w:r>
    </w:p>
    <w:tbl>
      <w:tblPr>
        <w:tblStyle w:val="TableGrid"/>
        <w:tblW w:w="9606" w:type="dxa"/>
        <w:tblLook w:val="04A0" w:firstRow="1" w:lastRow="0" w:firstColumn="1" w:lastColumn="0" w:noHBand="0" w:noVBand="1"/>
      </w:tblPr>
      <w:tblGrid>
        <w:gridCol w:w="9606"/>
      </w:tblGrid>
      <w:tr w:rsidR="00B91858" w:rsidTr="00EA38F7">
        <w:tc>
          <w:tcPr>
            <w:tcW w:w="9606" w:type="dxa"/>
          </w:tcPr>
          <w:p w:rsidR="00B91858" w:rsidRDefault="00CC5BFA" w:rsidP="00CA7071">
            <w:pPr>
              <w:pStyle w:val="ListParagraph"/>
              <w:ind w:left="0"/>
            </w:pPr>
            <w:r>
              <w:t>Not applicable</w:t>
            </w:r>
          </w:p>
        </w:tc>
      </w:tr>
    </w:tbl>
    <w:p w:rsidR="00EA38F7" w:rsidRDefault="00EA38F7" w:rsidP="00EA38F7">
      <w:pPr>
        <w:pStyle w:val="ListParagraph"/>
        <w:ind w:left="1080"/>
      </w:pPr>
    </w:p>
    <w:p w:rsidR="000277C4" w:rsidRDefault="00EA38F7" w:rsidP="00EA38F7">
      <w:pPr>
        <w:pStyle w:val="ListParagraph"/>
        <w:numPr>
          <w:ilvl w:val="1"/>
          <w:numId w:val="1"/>
        </w:numPr>
        <w:ind w:left="709" w:hanging="709"/>
      </w:pPr>
      <w:r>
        <w:t xml:space="preserve">If Services, does the contract </w:t>
      </w:r>
      <w:r w:rsidR="003362A5">
        <w:t xml:space="preserve">come under the scope of Community Right to Challenge? </w:t>
      </w:r>
    </w:p>
    <w:p w:rsidR="00EA38F7" w:rsidRDefault="003362A5" w:rsidP="00E164D6">
      <w:pPr>
        <w:pStyle w:val="ListParagraph"/>
        <w:spacing w:after="60"/>
        <w:ind w:left="709"/>
        <w:jc w:val="right"/>
      </w:pPr>
      <w:proofErr w:type="gramStart"/>
      <w:r>
        <w:t>Yes  /</w:t>
      </w:r>
      <w:proofErr w:type="gramEnd"/>
      <w:r>
        <w:t xml:space="preserve"> No.</w:t>
      </w:r>
    </w:p>
    <w:tbl>
      <w:tblPr>
        <w:tblStyle w:val="TableGrid"/>
        <w:tblW w:w="9606" w:type="dxa"/>
        <w:tblLook w:val="04A0" w:firstRow="1" w:lastRow="0" w:firstColumn="1" w:lastColumn="0" w:noHBand="0" w:noVBand="1"/>
      </w:tblPr>
      <w:tblGrid>
        <w:gridCol w:w="9606"/>
      </w:tblGrid>
      <w:tr w:rsidR="00EA38F7" w:rsidTr="00597FF3">
        <w:tc>
          <w:tcPr>
            <w:tcW w:w="9606" w:type="dxa"/>
          </w:tcPr>
          <w:p w:rsidR="00EA38F7" w:rsidRDefault="00CC5BFA" w:rsidP="003362A5">
            <w:pPr>
              <w:pStyle w:val="ListParagraph"/>
              <w:ind w:left="0"/>
            </w:pPr>
            <w:r>
              <w:t>Not applicable</w:t>
            </w:r>
          </w:p>
        </w:tc>
      </w:tr>
    </w:tbl>
    <w:p w:rsidR="00B91858" w:rsidRDefault="00B91858" w:rsidP="00B91858">
      <w:pPr>
        <w:pStyle w:val="ListParagraph"/>
        <w:ind w:left="0"/>
      </w:pPr>
    </w:p>
    <w:p w:rsidR="00B91858" w:rsidRDefault="00DE2929" w:rsidP="007D720E">
      <w:pPr>
        <w:pStyle w:val="ListParagraph"/>
        <w:numPr>
          <w:ilvl w:val="1"/>
          <w:numId w:val="1"/>
        </w:numPr>
        <w:ind w:left="567" w:hanging="567"/>
      </w:pPr>
      <w:r>
        <w:t xml:space="preserve">Describe any areas of sustainable procurement that </w:t>
      </w:r>
      <w:r w:rsidR="00AF6D2E">
        <w:t xml:space="preserve">have been considered and how they will </w:t>
      </w:r>
      <w:r>
        <w:t>be incorporated</w:t>
      </w:r>
      <w:r w:rsidR="00286213">
        <w:t>.</w:t>
      </w:r>
    </w:p>
    <w:tbl>
      <w:tblPr>
        <w:tblStyle w:val="TableGrid"/>
        <w:tblW w:w="9606" w:type="dxa"/>
        <w:tblLook w:val="04A0" w:firstRow="1" w:lastRow="0" w:firstColumn="1" w:lastColumn="0" w:noHBand="0" w:noVBand="1"/>
      </w:tblPr>
      <w:tblGrid>
        <w:gridCol w:w="9606"/>
      </w:tblGrid>
      <w:tr w:rsidR="00B91858" w:rsidTr="00EA38F7">
        <w:tc>
          <w:tcPr>
            <w:tcW w:w="9606" w:type="dxa"/>
          </w:tcPr>
          <w:p w:rsidR="00B91858" w:rsidRDefault="000277C4" w:rsidP="003F5B50">
            <w:pPr>
              <w:pStyle w:val="ListParagraph"/>
              <w:ind w:left="567" w:hanging="567"/>
            </w:pPr>
            <w:r>
              <w:t>C</w:t>
            </w:r>
            <w:r w:rsidR="00DE2929">
              <w:t>omplete Sustainability Impact Assessment</w:t>
            </w:r>
            <w:r>
              <w:t>, where appropriate</w:t>
            </w:r>
            <w:r w:rsidR="00ED42D8">
              <w:t xml:space="preserve">. </w:t>
            </w:r>
            <w:r w:rsidR="00C71AB4">
              <w:t>The greenest sources of energy will be sourced where viable</w:t>
            </w:r>
            <w:r w:rsidR="003F5B50">
              <w:t xml:space="preserve"> for the quarterly supplies on fixed term </w:t>
            </w:r>
            <w:proofErr w:type="gramStart"/>
            <w:r w:rsidR="003F5B50">
              <w:t>contract</w:t>
            </w:r>
            <w:r w:rsidR="00C71AB4">
              <w:t xml:space="preserve"> </w:t>
            </w:r>
            <w:r w:rsidR="00630148">
              <w:t xml:space="preserve"> -</w:t>
            </w:r>
            <w:proofErr w:type="gramEnd"/>
            <w:r w:rsidR="00630148">
              <w:t xml:space="preserve">and if no more than 2% above the cost of </w:t>
            </w:r>
            <w:r w:rsidR="003F5B50">
              <w:t>conventional</w:t>
            </w:r>
            <w:r w:rsidR="00630148">
              <w:t xml:space="preserve"> supplies - </w:t>
            </w:r>
            <w:r w:rsidR="00C71AB4">
              <w:t>with full traceability of supply requested. Renewable Energy is available in the LASER portfolio</w:t>
            </w:r>
            <w:r w:rsidR="003F5B50">
              <w:t xml:space="preserve"> for the flexibly purchased supplies</w:t>
            </w:r>
            <w:r w:rsidR="00C71AB4">
              <w:t xml:space="preserve"> for the duration of the new frameworks through to September 2020. For the first year of supply October 2016 to September 2017, this will be offered at a 5% discount to the prevailing rate of Climate Change Levy (CCL) </w:t>
            </w:r>
          </w:p>
        </w:tc>
      </w:tr>
    </w:tbl>
    <w:p w:rsidR="00AF6D2E" w:rsidRDefault="00AF6D2E" w:rsidP="007D720E">
      <w:pPr>
        <w:pStyle w:val="ListParagraph"/>
        <w:ind w:left="567" w:hanging="567"/>
      </w:pPr>
    </w:p>
    <w:p w:rsidR="00CA7071" w:rsidRDefault="00CA7071" w:rsidP="007D720E">
      <w:pPr>
        <w:pStyle w:val="ListParagraph"/>
        <w:ind w:left="567" w:hanging="567"/>
      </w:pPr>
      <w:r>
        <w:t>3.8</w:t>
      </w:r>
      <w:r>
        <w:tab/>
        <w:t>Please state who will be managing this contract</w:t>
      </w:r>
    </w:p>
    <w:tbl>
      <w:tblPr>
        <w:tblStyle w:val="TableGrid"/>
        <w:tblW w:w="9606" w:type="dxa"/>
        <w:tblLook w:val="04A0" w:firstRow="1" w:lastRow="0" w:firstColumn="1" w:lastColumn="0" w:noHBand="0" w:noVBand="1"/>
      </w:tblPr>
      <w:tblGrid>
        <w:gridCol w:w="9606"/>
      </w:tblGrid>
      <w:tr w:rsidR="00CA7071" w:rsidTr="007805EE">
        <w:tc>
          <w:tcPr>
            <w:tcW w:w="9606" w:type="dxa"/>
          </w:tcPr>
          <w:p w:rsidR="00CA7071" w:rsidRDefault="00CC5BFA" w:rsidP="007805EE">
            <w:pPr>
              <w:pStyle w:val="ListParagraph"/>
              <w:ind w:left="0"/>
            </w:pPr>
            <w:r>
              <w:t>Paul Spencer,</w:t>
            </w:r>
            <w:r w:rsidR="00104087">
              <w:t xml:space="preserve"> Energy &amp; Carbon Manager. Paul has successfully managed the last 2</w:t>
            </w:r>
            <w:r w:rsidR="00653437">
              <w:t xml:space="preserve"> terms of t</w:t>
            </w:r>
            <w:r w:rsidR="008E6DF6">
              <w:t>h</w:t>
            </w:r>
            <w:r w:rsidR="00653437">
              <w:t>is contract and is a corporate</w:t>
            </w:r>
            <w:r w:rsidR="00104087">
              <w:t xml:space="preserve"> accredited Procurement Practitioner.</w:t>
            </w:r>
          </w:p>
        </w:tc>
      </w:tr>
    </w:tbl>
    <w:p w:rsidR="00CA7071" w:rsidRDefault="00CA7071" w:rsidP="007D720E">
      <w:pPr>
        <w:pStyle w:val="ListParagraph"/>
        <w:ind w:left="567" w:hanging="567"/>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333FF"/>
        <w:tblLook w:val="04A0" w:firstRow="1" w:lastRow="0" w:firstColumn="1" w:lastColumn="0" w:noHBand="0" w:noVBand="1"/>
      </w:tblPr>
      <w:tblGrid>
        <w:gridCol w:w="9606"/>
      </w:tblGrid>
      <w:tr w:rsidR="00AF6D2E" w:rsidRPr="001A76AF" w:rsidTr="00EA38F7">
        <w:tc>
          <w:tcPr>
            <w:tcW w:w="9606" w:type="dxa"/>
            <w:shd w:val="clear" w:color="auto" w:fill="3333FF"/>
          </w:tcPr>
          <w:p w:rsidR="00AF6D2E" w:rsidRPr="001A76AF" w:rsidRDefault="00AF6D2E" w:rsidP="007D720E">
            <w:pPr>
              <w:pStyle w:val="ListParagraph"/>
              <w:numPr>
                <w:ilvl w:val="0"/>
                <w:numId w:val="1"/>
              </w:numPr>
              <w:spacing w:before="40" w:after="40"/>
              <w:ind w:left="567" w:hanging="567"/>
              <w:rPr>
                <w:b/>
                <w:color w:val="FFFFFF" w:themeColor="background1"/>
              </w:rPr>
            </w:pPr>
            <w:r>
              <w:rPr>
                <w:b/>
                <w:color w:val="FFFFFF" w:themeColor="background1"/>
              </w:rPr>
              <w:t>RISK ANALYSIS</w:t>
            </w:r>
          </w:p>
        </w:tc>
      </w:tr>
    </w:tbl>
    <w:p w:rsidR="00AF6D2E" w:rsidRDefault="00AF6D2E" w:rsidP="007D720E">
      <w:pPr>
        <w:pStyle w:val="ListParagraph"/>
        <w:ind w:left="567" w:hanging="567"/>
      </w:pPr>
    </w:p>
    <w:p w:rsidR="003A1427" w:rsidRDefault="00974F90" w:rsidP="00286213">
      <w:pPr>
        <w:pStyle w:val="ListParagraph"/>
        <w:numPr>
          <w:ilvl w:val="1"/>
          <w:numId w:val="1"/>
        </w:numPr>
        <w:ind w:left="567" w:hanging="567"/>
      </w:pPr>
      <w:r>
        <w:t>Attach a copy of a detailed risk assessment which includes also includes risks pertaining to the procurement stage</w:t>
      </w:r>
      <w:r w:rsidR="00286213">
        <w:t>.</w:t>
      </w:r>
      <w:r w:rsidR="003A1427">
        <w:t xml:space="preserve">  </w:t>
      </w:r>
    </w:p>
    <w:p w:rsidR="00AF6D2E" w:rsidRDefault="003A1427" w:rsidP="003A1427">
      <w:pPr>
        <w:pStyle w:val="ListParagraph"/>
        <w:ind w:left="567"/>
        <w:jc w:val="right"/>
      </w:pPr>
      <w:r>
        <w:t>Attached Yes / No</w:t>
      </w:r>
    </w:p>
    <w:p w:rsidR="00AF6D2E" w:rsidRDefault="00AF6D2E" w:rsidP="007D720E">
      <w:pPr>
        <w:pStyle w:val="ListParagraph"/>
        <w:ind w:left="567" w:hanging="567"/>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333FF"/>
        <w:tblLook w:val="04A0" w:firstRow="1" w:lastRow="0" w:firstColumn="1" w:lastColumn="0" w:noHBand="0" w:noVBand="1"/>
      </w:tblPr>
      <w:tblGrid>
        <w:gridCol w:w="9606"/>
      </w:tblGrid>
      <w:tr w:rsidR="00300365" w:rsidRPr="001A76AF" w:rsidTr="00EA38F7">
        <w:tc>
          <w:tcPr>
            <w:tcW w:w="9606" w:type="dxa"/>
            <w:shd w:val="clear" w:color="auto" w:fill="3333FF"/>
          </w:tcPr>
          <w:p w:rsidR="00300365" w:rsidRPr="001A76AF" w:rsidRDefault="00300365" w:rsidP="007D720E">
            <w:pPr>
              <w:pStyle w:val="ListParagraph"/>
              <w:numPr>
                <w:ilvl w:val="0"/>
                <w:numId w:val="1"/>
              </w:numPr>
              <w:spacing w:before="40" w:after="40"/>
              <w:ind w:left="567" w:hanging="567"/>
              <w:rPr>
                <w:b/>
                <w:color w:val="FFFFFF" w:themeColor="background1"/>
              </w:rPr>
            </w:pPr>
            <w:r>
              <w:rPr>
                <w:b/>
                <w:color w:val="FFFFFF" w:themeColor="background1"/>
              </w:rPr>
              <w:t>TENDER EXECUTION</w:t>
            </w:r>
          </w:p>
        </w:tc>
      </w:tr>
    </w:tbl>
    <w:p w:rsidR="00300365" w:rsidRDefault="00300365" w:rsidP="007D720E">
      <w:pPr>
        <w:pStyle w:val="ListParagraph"/>
        <w:ind w:left="567" w:hanging="567"/>
      </w:pPr>
    </w:p>
    <w:p w:rsidR="00300365" w:rsidRDefault="00300365" w:rsidP="007D720E">
      <w:pPr>
        <w:pStyle w:val="ListParagraph"/>
        <w:numPr>
          <w:ilvl w:val="1"/>
          <w:numId w:val="1"/>
        </w:numPr>
        <w:ind w:left="567" w:hanging="567"/>
      </w:pPr>
      <w:r>
        <w:t xml:space="preserve">What is the appropriate procurement </w:t>
      </w:r>
      <w:r w:rsidR="003A1427">
        <w:t>procedure?</w:t>
      </w:r>
    </w:p>
    <w:tbl>
      <w:tblPr>
        <w:tblStyle w:val="TableGrid"/>
        <w:tblW w:w="9606" w:type="dxa"/>
        <w:tblLook w:val="04A0" w:firstRow="1" w:lastRow="0" w:firstColumn="1" w:lastColumn="0" w:noHBand="0" w:noVBand="1"/>
      </w:tblPr>
      <w:tblGrid>
        <w:gridCol w:w="2518"/>
        <w:gridCol w:w="709"/>
        <w:gridCol w:w="6379"/>
      </w:tblGrid>
      <w:tr w:rsidR="00300365" w:rsidTr="00EA38F7">
        <w:tc>
          <w:tcPr>
            <w:tcW w:w="2518" w:type="dxa"/>
            <w:shd w:val="clear" w:color="auto" w:fill="3333FF"/>
          </w:tcPr>
          <w:p w:rsidR="00300365" w:rsidRPr="00286213" w:rsidRDefault="00300365" w:rsidP="004D1623">
            <w:pPr>
              <w:pStyle w:val="ListParagraph"/>
              <w:ind w:left="0"/>
              <w:rPr>
                <w:b/>
                <w:color w:val="FFFFFF" w:themeColor="background1"/>
              </w:rPr>
            </w:pPr>
            <w:r w:rsidRPr="00286213">
              <w:rPr>
                <w:b/>
                <w:color w:val="FFFFFF" w:themeColor="background1"/>
              </w:rPr>
              <w:t>Procedure</w:t>
            </w:r>
          </w:p>
        </w:tc>
        <w:tc>
          <w:tcPr>
            <w:tcW w:w="709" w:type="dxa"/>
            <w:shd w:val="clear" w:color="auto" w:fill="3333FF"/>
          </w:tcPr>
          <w:p w:rsidR="00300365" w:rsidRPr="00286213" w:rsidRDefault="00300365" w:rsidP="004D1623">
            <w:pPr>
              <w:pStyle w:val="ListParagraph"/>
              <w:ind w:left="0"/>
              <w:rPr>
                <w:b/>
                <w:color w:val="FFFFFF" w:themeColor="background1"/>
              </w:rPr>
            </w:pPr>
            <w:r w:rsidRPr="00286213">
              <w:rPr>
                <w:b/>
                <w:color w:val="FFFFFF" w:themeColor="background1"/>
              </w:rPr>
              <w:t>Tick</w:t>
            </w:r>
          </w:p>
        </w:tc>
        <w:tc>
          <w:tcPr>
            <w:tcW w:w="6379" w:type="dxa"/>
            <w:shd w:val="clear" w:color="auto" w:fill="3333FF"/>
          </w:tcPr>
          <w:p w:rsidR="00300365" w:rsidRPr="00286213" w:rsidRDefault="00300365" w:rsidP="004D1623">
            <w:pPr>
              <w:pStyle w:val="ListParagraph"/>
              <w:ind w:left="0"/>
              <w:rPr>
                <w:b/>
                <w:color w:val="FFFFFF" w:themeColor="background1"/>
              </w:rPr>
            </w:pPr>
            <w:r w:rsidRPr="00286213">
              <w:rPr>
                <w:b/>
                <w:color w:val="FFFFFF" w:themeColor="background1"/>
              </w:rPr>
              <w:t>Rationale</w:t>
            </w:r>
            <w:r w:rsidR="00EA38F7">
              <w:rPr>
                <w:b/>
                <w:color w:val="FFFFFF" w:themeColor="background1"/>
              </w:rPr>
              <w:t xml:space="preserve"> </w:t>
            </w:r>
            <w:r w:rsidR="00EA38F7" w:rsidRPr="00EA38F7">
              <w:rPr>
                <w:b/>
                <w:i/>
                <w:color w:val="FFFFFF" w:themeColor="background1"/>
                <w:sz w:val="20"/>
                <w:szCs w:val="20"/>
              </w:rPr>
              <w:t>(should be based on research or evidence)</w:t>
            </w:r>
          </w:p>
        </w:tc>
      </w:tr>
      <w:tr w:rsidR="00300365" w:rsidTr="00EA38F7">
        <w:tc>
          <w:tcPr>
            <w:tcW w:w="2518" w:type="dxa"/>
          </w:tcPr>
          <w:p w:rsidR="00300365" w:rsidRDefault="00300365" w:rsidP="004D1623">
            <w:pPr>
              <w:pStyle w:val="ListParagraph"/>
              <w:ind w:left="0"/>
            </w:pPr>
            <w:r>
              <w:t>Non EU</w:t>
            </w:r>
            <w:r w:rsidR="004B736F">
              <w:t xml:space="preserve"> </w:t>
            </w:r>
            <w:r w:rsidR="003A1427">
              <w:t>– Open</w:t>
            </w:r>
          </w:p>
        </w:tc>
        <w:tc>
          <w:tcPr>
            <w:tcW w:w="709" w:type="dxa"/>
          </w:tcPr>
          <w:p w:rsidR="00300365" w:rsidRDefault="00300365" w:rsidP="004D1623">
            <w:pPr>
              <w:pStyle w:val="ListParagraph"/>
              <w:ind w:left="0"/>
            </w:pPr>
          </w:p>
        </w:tc>
        <w:tc>
          <w:tcPr>
            <w:tcW w:w="6379" w:type="dxa"/>
          </w:tcPr>
          <w:p w:rsidR="00300365" w:rsidRDefault="00300365" w:rsidP="004D1623">
            <w:pPr>
              <w:pStyle w:val="ListParagraph"/>
              <w:ind w:left="0"/>
            </w:pPr>
          </w:p>
        </w:tc>
      </w:tr>
      <w:tr w:rsidR="00300365" w:rsidTr="00EA38F7">
        <w:tc>
          <w:tcPr>
            <w:tcW w:w="2518" w:type="dxa"/>
          </w:tcPr>
          <w:p w:rsidR="00300365" w:rsidRDefault="003A1427" w:rsidP="004D1623">
            <w:pPr>
              <w:pStyle w:val="ListParagraph"/>
              <w:ind w:left="0"/>
            </w:pPr>
            <w:r>
              <w:t xml:space="preserve">EU </w:t>
            </w:r>
            <w:r w:rsidR="00300365">
              <w:t>Open</w:t>
            </w:r>
            <w:r w:rsidRPr="003A1427">
              <w:rPr>
                <w:i/>
                <w:color w:val="FF0000"/>
              </w:rPr>
              <w:t>*</w:t>
            </w:r>
          </w:p>
        </w:tc>
        <w:tc>
          <w:tcPr>
            <w:tcW w:w="709" w:type="dxa"/>
          </w:tcPr>
          <w:p w:rsidR="00300365" w:rsidRDefault="00300365" w:rsidP="004D1623">
            <w:pPr>
              <w:pStyle w:val="ListParagraph"/>
              <w:ind w:left="0"/>
            </w:pPr>
          </w:p>
        </w:tc>
        <w:tc>
          <w:tcPr>
            <w:tcW w:w="6379" w:type="dxa"/>
          </w:tcPr>
          <w:p w:rsidR="00300365" w:rsidRDefault="00300365" w:rsidP="004D1623">
            <w:pPr>
              <w:pStyle w:val="ListParagraph"/>
              <w:ind w:left="0"/>
            </w:pPr>
          </w:p>
        </w:tc>
      </w:tr>
      <w:tr w:rsidR="00300365" w:rsidTr="00EA38F7">
        <w:tc>
          <w:tcPr>
            <w:tcW w:w="2518" w:type="dxa"/>
          </w:tcPr>
          <w:p w:rsidR="00300365" w:rsidRDefault="003A1427" w:rsidP="003A1427">
            <w:pPr>
              <w:pStyle w:val="ListParagraph"/>
              <w:ind w:left="0"/>
            </w:pPr>
            <w:r>
              <w:t>EU</w:t>
            </w:r>
            <w:r w:rsidR="00300365">
              <w:t xml:space="preserve"> Restricted</w:t>
            </w:r>
            <w:r w:rsidRPr="003A1427">
              <w:rPr>
                <w:i/>
                <w:color w:val="FF0000"/>
              </w:rPr>
              <w:t>*</w:t>
            </w:r>
          </w:p>
        </w:tc>
        <w:tc>
          <w:tcPr>
            <w:tcW w:w="709" w:type="dxa"/>
          </w:tcPr>
          <w:p w:rsidR="00300365" w:rsidRDefault="00300365" w:rsidP="004D1623">
            <w:pPr>
              <w:pStyle w:val="ListParagraph"/>
              <w:ind w:left="0"/>
            </w:pPr>
          </w:p>
        </w:tc>
        <w:tc>
          <w:tcPr>
            <w:tcW w:w="6379" w:type="dxa"/>
          </w:tcPr>
          <w:p w:rsidR="00300365" w:rsidRDefault="00300365" w:rsidP="004D1623">
            <w:pPr>
              <w:pStyle w:val="ListParagraph"/>
              <w:ind w:left="0"/>
            </w:pPr>
          </w:p>
        </w:tc>
      </w:tr>
      <w:tr w:rsidR="00300365" w:rsidTr="00EA38F7">
        <w:tc>
          <w:tcPr>
            <w:tcW w:w="2518" w:type="dxa"/>
          </w:tcPr>
          <w:p w:rsidR="00300365" w:rsidRDefault="00300365" w:rsidP="004D1623">
            <w:pPr>
              <w:pStyle w:val="ListParagraph"/>
              <w:ind w:left="0"/>
            </w:pPr>
            <w:r>
              <w:t>Competitive Dialogue</w:t>
            </w:r>
          </w:p>
        </w:tc>
        <w:tc>
          <w:tcPr>
            <w:tcW w:w="709" w:type="dxa"/>
          </w:tcPr>
          <w:p w:rsidR="00300365" w:rsidRDefault="00300365" w:rsidP="004D1623">
            <w:pPr>
              <w:pStyle w:val="ListParagraph"/>
              <w:ind w:left="0"/>
            </w:pPr>
          </w:p>
        </w:tc>
        <w:tc>
          <w:tcPr>
            <w:tcW w:w="6379" w:type="dxa"/>
          </w:tcPr>
          <w:p w:rsidR="00300365" w:rsidRDefault="00300365" w:rsidP="004D1623">
            <w:pPr>
              <w:pStyle w:val="ListParagraph"/>
              <w:ind w:left="0"/>
            </w:pPr>
          </w:p>
        </w:tc>
      </w:tr>
      <w:tr w:rsidR="00300365" w:rsidTr="00EA38F7">
        <w:tc>
          <w:tcPr>
            <w:tcW w:w="2518" w:type="dxa"/>
          </w:tcPr>
          <w:p w:rsidR="00300365" w:rsidRDefault="003A1427" w:rsidP="003A1427">
            <w:pPr>
              <w:pStyle w:val="ListParagraph"/>
              <w:ind w:left="0"/>
            </w:pPr>
            <w:r>
              <w:t xml:space="preserve">Competitive Procedure with </w:t>
            </w:r>
            <w:r w:rsidR="00300365">
              <w:t>Negotiat</w:t>
            </w:r>
            <w:r>
              <w:t>ion</w:t>
            </w:r>
          </w:p>
        </w:tc>
        <w:tc>
          <w:tcPr>
            <w:tcW w:w="709" w:type="dxa"/>
          </w:tcPr>
          <w:p w:rsidR="00300365" w:rsidRDefault="00300365" w:rsidP="004D1623">
            <w:pPr>
              <w:pStyle w:val="ListParagraph"/>
              <w:ind w:left="0"/>
            </w:pPr>
          </w:p>
        </w:tc>
        <w:tc>
          <w:tcPr>
            <w:tcW w:w="6379" w:type="dxa"/>
          </w:tcPr>
          <w:p w:rsidR="00300365" w:rsidRDefault="00300365" w:rsidP="004D1623">
            <w:pPr>
              <w:pStyle w:val="ListParagraph"/>
              <w:ind w:left="0"/>
            </w:pPr>
          </w:p>
        </w:tc>
      </w:tr>
      <w:tr w:rsidR="003A1427" w:rsidTr="00EA38F7">
        <w:tc>
          <w:tcPr>
            <w:tcW w:w="2518" w:type="dxa"/>
          </w:tcPr>
          <w:p w:rsidR="003A1427" w:rsidRDefault="003A1427" w:rsidP="003A1427">
            <w:pPr>
              <w:pStyle w:val="ListParagraph"/>
              <w:ind w:left="0"/>
            </w:pPr>
            <w:r>
              <w:t>Innovation Partnership</w:t>
            </w:r>
          </w:p>
        </w:tc>
        <w:tc>
          <w:tcPr>
            <w:tcW w:w="709" w:type="dxa"/>
          </w:tcPr>
          <w:p w:rsidR="003A1427" w:rsidRDefault="003A1427" w:rsidP="004D1623">
            <w:pPr>
              <w:pStyle w:val="ListParagraph"/>
              <w:ind w:left="0"/>
            </w:pPr>
          </w:p>
        </w:tc>
        <w:tc>
          <w:tcPr>
            <w:tcW w:w="6379" w:type="dxa"/>
          </w:tcPr>
          <w:p w:rsidR="003A1427" w:rsidRDefault="003A1427" w:rsidP="004D1623">
            <w:pPr>
              <w:pStyle w:val="ListParagraph"/>
              <w:ind w:left="0"/>
            </w:pPr>
          </w:p>
        </w:tc>
      </w:tr>
      <w:tr w:rsidR="00300365" w:rsidTr="00EA38F7">
        <w:tc>
          <w:tcPr>
            <w:tcW w:w="2518" w:type="dxa"/>
          </w:tcPr>
          <w:p w:rsidR="00300365" w:rsidRDefault="000D5B95" w:rsidP="004D1623">
            <w:pPr>
              <w:pStyle w:val="ListParagraph"/>
              <w:ind w:left="0"/>
            </w:pPr>
            <w:r>
              <w:t>Framework</w:t>
            </w:r>
          </w:p>
        </w:tc>
        <w:tc>
          <w:tcPr>
            <w:tcW w:w="709" w:type="dxa"/>
          </w:tcPr>
          <w:p w:rsidR="00300365" w:rsidRPr="00653437" w:rsidRDefault="00653437" w:rsidP="004D1623">
            <w:pPr>
              <w:pStyle w:val="ListParagraph"/>
              <w:ind w:left="0"/>
              <w:rPr>
                <w:b/>
              </w:rPr>
            </w:pPr>
            <w:r w:rsidRPr="00653437">
              <w:rPr>
                <w:b/>
              </w:rPr>
              <w:t>√</w:t>
            </w:r>
          </w:p>
        </w:tc>
        <w:tc>
          <w:tcPr>
            <w:tcW w:w="6379" w:type="dxa"/>
          </w:tcPr>
          <w:p w:rsidR="00300365" w:rsidRDefault="00566EBD" w:rsidP="004D1623">
            <w:pPr>
              <w:pStyle w:val="ListParagraph"/>
              <w:ind w:left="0"/>
            </w:pPr>
            <w:r>
              <w:t>LASER</w:t>
            </w:r>
          </w:p>
        </w:tc>
      </w:tr>
    </w:tbl>
    <w:p w:rsidR="00300365" w:rsidRDefault="003A1427" w:rsidP="003A1427">
      <w:pPr>
        <w:pStyle w:val="ListParagraph"/>
        <w:ind w:left="1080" w:hanging="1080"/>
        <w:rPr>
          <w:i/>
          <w:color w:val="FF0000"/>
          <w:sz w:val="20"/>
          <w:szCs w:val="20"/>
        </w:rPr>
      </w:pPr>
      <w:r w:rsidRPr="003A1427">
        <w:rPr>
          <w:i/>
          <w:color w:val="FF0000"/>
          <w:sz w:val="20"/>
          <w:szCs w:val="20"/>
        </w:rPr>
        <w:t>* If an accelerated timeline is proposed please state justification for doing so.</w:t>
      </w:r>
    </w:p>
    <w:p w:rsidR="003A1427" w:rsidRPr="003A1427" w:rsidRDefault="003A1427" w:rsidP="003A1427">
      <w:pPr>
        <w:pStyle w:val="ListParagraph"/>
        <w:ind w:left="1080" w:hanging="1080"/>
        <w:rPr>
          <w:i/>
          <w:color w:val="FF0000"/>
          <w:sz w:val="20"/>
          <w:szCs w:val="20"/>
        </w:rPr>
      </w:pPr>
    </w:p>
    <w:p w:rsidR="00B91858" w:rsidRDefault="001F2018" w:rsidP="007D720E">
      <w:pPr>
        <w:pStyle w:val="ListParagraph"/>
        <w:numPr>
          <w:ilvl w:val="1"/>
          <w:numId w:val="1"/>
        </w:numPr>
        <w:ind w:left="567" w:hanging="567"/>
      </w:pPr>
      <w:r>
        <w:t xml:space="preserve">Does the procurement lend itself to being conducted via an </w:t>
      </w:r>
      <w:proofErr w:type="spellStart"/>
      <w:r>
        <w:t>eAuction</w:t>
      </w:r>
      <w:proofErr w:type="spellEnd"/>
      <w:r w:rsidR="00286213">
        <w:t>?</w:t>
      </w:r>
    </w:p>
    <w:p w:rsidR="001F2018" w:rsidRDefault="001F2018" w:rsidP="001F2018">
      <w:pPr>
        <w:pStyle w:val="ListParagraph"/>
        <w:ind w:left="567"/>
        <w:jc w:val="right"/>
      </w:pPr>
      <w:r>
        <w:t xml:space="preserve"> No</w:t>
      </w:r>
    </w:p>
    <w:tbl>
      <w:tblPr>
        <w:tblStyle w:val="TableGrid"/>
        <w:tblW w:w="9606" w:type="dxa"/>
        <w:tblLook w:val="04A0" w:firstRow="1" w:lastRow="0" w:firstColumn="1" w:lastColumn="0" w:noHBand="0" w:noVBand="1"/>
      </w:tblPr>
      <w:tblGrid>
        <w:gridCol w:w="9606"/>
      </w:tblGrid>
      <w:tr w:rsidR="00B91858" w:rsidTr="00EA38F7">
        <w:tc>
          <w:tcPr>
            <w:tcW w:w="9606" w:type="dxa"/>
          </w:tcPr>
          <w:p w:rsidR="00B91858" w:rsidRDefault="00653437" w:rsidP="007D720E">
            <w:pPr>
              <w:pStyle w:val="ListParagraph"/>
              <w:ind w:left="0"/>
            </w:pPr>
            <w:r>
              <w:t>Not applicable</w:t>
            </w:r>
          </w:p>
        </w:tc>
      </w:tr>
    </w:tbl>
    <w:p w:rsidR="00B91858" w:rsidRDefault="00B91858" w:rsidP="007D720E">
      <w:pPr>
        <w:pStyle w:val="ListParagraph"/>
        <w:ind w:left="567" w:hanging="567"/>
      </w:pPr>
    </w:p>
    <w:p w:rsidR="001F2018" w:rsidRDefault="001F2018" w:rsidP="007D720E">
      <w:pPr>
        <w:pStyle w:val="ListParagraph"/>
        <w:numPr>
          <w:ilvl w:val="1"/>
          <w:numId w:val="1"/>
        </w:numPr>
        <w:ind w:left="567" w:hanging="567"/>
      </w:pPr>
      <w:r>
        <w:t>Do</w:t>
      </w:r>
      <w:r w:rsidR="000D5B95">
        <w:t xml:space="preserve"> any conflicts of interest</w:t>
      </w:r>
      <w:r>
        <w:t xml:space="preserve"> exist</w:t>
      </w:r>
    </w:p>
    <w:p w:rsidR="00B91858" w:rsidRDefault="000D5B95" w:rsidP="001F2018">
      <w:pPr>
        <w:pStyle w:val="ListParagraph"/>
        <w:ind w:left="567"/>
        <w:jc w:val="right"/>
      </w:pPr>
      <w:r>
        <w:t>No</w:t>
      </w:r>
    </w:p>
    <w:tbl>
      <w:tblPr>
        <w:tblStyle w:val="TableGrid"/>
        <w:tblW w:w="9606" w:type="dxa"/>
        <w:tblLook w:val="04A0" w:firstRow="1" w:lastRow="0" w:firstColumn="1" w:lastColumn="0" w:noHBand="0" w:noVBand="1"/>
      </w:tblPr>
      <w:tblGrid>
        <w:gridCol w:w="9606"/>
      </w:tblGrid>
      <w:tr w:rsidR="00B91858" w:rsidTr="00EA38F7">
        <w:tc>
          <w:tcPr>
            <w:tcW w:w="9606" w:type="dxa"/>
          </w:tcPr>
          <w:p w:rsidR="00B91858" w:rsidRDefault="000D5B95" w:rsidP="007D720E">
            <w:pPr>
              <w:pStyle w:val="ListParagraph"/>
              <w:ind w:left="567" w:hanging="567"/>
            </w:pPr>
            <w:r>
              <w:t>If Yes, please describe the conflict and how this will be managed in the project</w:t>
            </w:r>
          </w:p>
        </w:tc>
      </w:tr>
    </w:tbl>
    <w:p w:rsidR="00B91858" w:rsidRDefault="00B91858" w:rsidP="007D720E">
      <w:pPr>
        <w:pStyle w:val="ListParagraph"/>
        <w:ind w:left="567" w:hanging="567"/>
      </w:pPr>
    </w:p>
    <w:p w:rsidR="000D5B95" w:rsidRDefault="00401A42" w:rsidP="007D720E">
      <w:pPr>
        <w:pStyle w:val="ListParagraph"/>
        <w:numPr>
          <w:ilvl w:val="1"/>
          <w:numId w:val="1"/>
        </w:numPr>
        <w:ind w:left="567" w:hanging="567"/>
      </w:pPr>
      <w:r>
        <w:t>Detail key milestone dates</w:t>
      </w:r>
      <w:r w:rsidR="00286213">
        <w:t>.</w:t>
      </w:r>
    </w:p>
    <w:tbl>
      <w:tblPr>
        <w:tblStyle w:val="TableGrid"/>
        <w:tblW w:w="9640" w:type="dxa"/>
        <w:tblInd w:w="-34" w:type="dxa"/>
        <w:tblLook w:val="04A0" w:firstRow="1" w:lastRow="0" w:firstColumn="1" w:lastColumn="0" w:noHBand="0" w:noVBand="1"/>
      </w:tblPr>
      <w:tblGrid>
        <w:gridCol w:w="6096"/>
        <w:gridCol w:w="3544"/>
      </w:tblGrid>
      <w:tr w:rsidR="00286213" w:rsidRPr="00286213" w:rsidTr="00EA38F7">
        <w:tc>
          <w:tcPr>
            <w:tcW w:w="6096" w:type="dxa"/>
            <w:shd w:val="clear" w:color="auto" w:fill="3333FF"/>
          </w:tcPr>
          <w:p w:rsidR="00401A42" w:rsidRPr="00286213" w:rsidRDefault="00401A42" w:rsidP="00401A42">
            <w:pPr>
              <w:pStyle w:val="ListParagraph"/>
              <w:ind w:left="0"/>
              <w:rPr>
                <w:b/>
                <w:color w:val="FFFFFF" w:themeColor="background1"/>
              </w:rPr>
            </w:pPr>
            <w:r w:rsidRPr="00286213">
              <w:rPr>
                <w:b/>
                <w:color w:val="FFFFFF" w:themeColor="background1"/>
              </w:rPr>
              <w:t>Milestone</w:t>
            </w:r>
          </w:p>
        </w:tc>
        <w:tc>
          <w:tcPr>
            <w:tcW w:w="3544" w:type="dxa"/>
            <w:shd w:val="clear" w:color="auto" w:fill="3333FF"/>
          </w:tcPr>
          <w:p w:rsidR="00401A42" w:rsidRPr="00286213" w:rsidRDefault="00401A42" w:rsidP="003A1427">
            <w:pPr>
              <w:pStyle w:val="ListParagraph"/>
              <w:ind w:left="0"/>
              <w:jc w:val="center"/>
              <w:rPr>
                <w:b/>
                <w:color w:val="FFFFFF" w:themeColor="background1"/>
              </w:rPr>
            </w:pPr>
            <w:r w:rsidRPr="00286213">
              <w:rPr>
                <w:b/>
                <w:color w:val="FFFFFF" w:themeColor="background1"/>
              </w:rPr>
              <w:t>Date</w:t>
            </w:r>
          </w:p>
        </w:tc>
      </w:tr>
      <w:tr w:rsidR="00401A42" w:rsidTr="00EA38F7">
        <w:tc>
          <w:tcPr>
            <w:tcW w:w="6096" w:type="dxa"/>
          </w:tcPr>
          <w:p w:rsidR="00401A42" w:rsidRDefault="00401A42" w:rsidP="00745130">
            <w:pPr>
              <w:pStyle w:val="ListParagraph"/>
              <w:ind w:left="0"/>
            </w:pPr>
            <w:r>
              <w:t xml:space="preserve">Gateway </w:t>
            </w:r>
            <w:r w:rsidR="00745130">
              <w:t>2</w:t>
            </w:r>
            <w:r>
              <w:t xml:space="preserve"> - Approval to proceed</w:t>
            </w:r>
          </w:p>
        </w:tc>
        <w:tc>
          <w:tcPr>
            <w:tcW w:w="3544" w:type="dxa"/>
          </w:tcPr>
          <w:p w:rsidR="00401A42" w:rsidRDefault="00401A42" w:rsidP="00401A42">
            <w:pPr>
              <w:pStyle w:val="ListParagraph"/>
              <w:ind w:left="0"/>
            </w:pPr>
          </w:p>
        </w:tc>
      </w:tr>
      <w:tr w:rsidR="00401A42" w:rsidTr="00EA38F7">
        <w:tc>
          <w:tcPr>
            <w:tcW w:w="6096" w:type="dxa"/>
          </w:tcPr>
          <w:p w:rsidR="00401A42" w:rsidRDefault="00401A42" w:rsidP="00401A42">
            <w:pPr>
              <w:pStyle w:val="ListParagraph"/>
              <w:ind w:left="0"/>
            </w:pPr>
            <w:r>
              <w:t xml:space="preserve">Publication of OJEU Contract Notice </w:t>
            </w:r>
            <w:r w:rsidRPr="002F3AC1">
              <w:rPr>
                <w:i/>
                <w:sz w:val="20"/>
                <w:szCs w:val="20"/>
              </w:rPr>
              <w:t>(where used)</w:t>
            </w:r>
          </w:p>
        </w:tc>
        <w:tc>
          <w:tcPr>
            <w:tcW w:w="3544" w:type="dxa"/>
          </w:tcPr>
          <w:p w:rsidR="00401A42" w:rsidRDefault="00401A42" w:rsidP="00401A42">
            <w:pPr>
              <w:pStyle w:val="ListParagraph"/>
              <w:ind w:left="0"/>
            </w:pPr>
          </w:p>
        </w:tc>
      </w:tr>
      <w:tr w:rsidR="00401A42" w:rsidTr="00EA38F7">
        <w:tc>
          <w:tcPr>
            <w:tcW w:w="6096" w:type="dxa"/>
          </w:tcPr>
          <w:p w:rsidR="00401A42" w:rsidRDefault="00401A42" w:rsidP="00401A42">
            <w:pPr>
              <w:pStyle w:val="ListParagraph"/>
              <w:ind w:left="0"/>
            </w:pPr>
            <w:r>
              <w:t xml:space="preserve">Issue of Pre-Qualification Questionnaire </w:t>
            </w:r>
            <w:r w:rsidRPr="002F3AC1">
              <w:rPr>
                <w:i/>
                <w:sz w:val="20"/>
                <w:szCs w:val="20"/>
              </w:rPr>
              <w:t>(where used)</w:t>
            </w:r>
          </w:p>
        </w:tc>
        <w:tc>
          <w:tcPr>
            <w:tcW w:w="3544" w:type="dxa"/>
          </w:tcPr>
          <w:p w:rsidR="00401A42" w:rsidRDefault="00401A42" w:rsidP="00401A42">
            <w:pPr>
              <w:pStyle w:val="ListParagraph"/>
              <w:ind w:left="0"/>
            </w:pPr>
          </w:p>
        </w:tc>
      </w:tr>
      <w:tr w:rsidR="00401A42" w:rsidTr="00EA38F7">
        <w:tc>
          <w:tcPr>
            <w:tcW w:w="6096" w:type="dxa"/>
          </w:tcPr>
          <w:p w:rsidR="00401A42" w:rsidRDefault="00401A42" w:rsidP="00401A42">
            <w:pPr>
              <w:pStyle w:val="ListParagraph"/>
              <w:ind w:left="0"/>
            </w:pPr>
            <w:r>
              <w:t>Issue of Invitation to Tender</w:t>
            </w:r>
          </w:p>
        </w:tc>
        <w:tc>
          <w:tcPr>
            <w:tcW w:w="3544" w:type="dxa"/>
          </w:tcPr>
          <w:p w:rsidR="00401A42" w:rsidRDefault="00401A42" w:rsidP="00401A42">
            <w:pPr>
              <w:pStyle w:val="ListParagraph"/>
              <w:ind w:left="0"/>
            </w:pPr>
          </w:p>
        </w:tc>
      </w:tr>
      <w:tr w:rsidR="00401A42" w:rsidTr="00EA38F7">
        <w:tc>
          <w:tcPr>
            <w:tcW w:w="6096" w:type="dxa"/>
          </w:tcPr>
          <w:p w:rsidR="00401A42" w:rsidRDefault="00401A42" w:rsidP="00745130">
            <w:pPr>
              <w:pStyle w:val="ListParagraph"/>
              <w:ind w:left="0"/>
            </w:pPr>
            <w:r>
              <w:t xml:space="preserve">Gateway </w:t>
            </w:r>
            <w:r w:rsidR="00745130">
              <w:t>3</w:t>
            </w:r>
            <w:r>
              <w:t xml:space="preserve"> – Approval to proceed</w:t>
            </w:r>
          </w:p>
        </w:tc>
        <w:tc>
          <w:tcPr>
            <w:tcW w:w="3544" w:type="dxa"/>
          </w:tcPr>
          <w:p w:rsidR="00401A42" w:rsidRDefault="00401A42" w:rsidP="00401A42">
            <w:pPr>
              <w:pStyle w:val="ListParagraph"/>
              <w:ind w:left="0"/>
            </w:pPr>
          </w:p>
        </w:tc>
      </w:tr>
      <w:tr w:rsidR="00401A42" w:rsidTr="00EA38F7">
        <w:tc>
          <w:tcPr>
            <w:tcW w:w="6096" w:type="dxa"/>
          </w:tcPr>
          <w:p w:rsidR="00401A42" w:rsidRDefault="00401A42" w:rsidP="00401A42">
            <w:pPr>
              <w:pStyle w:val="ListParagraph"/>
              <w:ind w:left="0"/>
            </w:pPr>
            <w:r>
              <w:t xml:space="preserve">Key Member decision </w:t>
            </w:r>
            <w:r w:rsidRPr="002F3AC1">
              <w:rPr>
                <w:i/>
                <w:sz w:val="20"/>
                <w:szCs w:val="20"/>
              </w:rPr>
              <w:t>(where required)</w:t>
            </w:r>
          </w:p>
        </w:tc>
        <w:tc>
          <w:tcPr>
            <w:tcW w:w="3544" w:type="dxa"/>
          </w:tcPr>
          <w:p w:rsidR="00401A42" w:rsidRDefault="00401A42" w:rsidP="00401A42">
            <w:pPr>
              <w:pStyle w:val="ListParagraph"/>
              <w:ind w:left="0"/>
            </w:pPr>
          </w:p>
        </w:tc>
      </w:tr>
      <w:tr w:rsidR="00401A42" w:rsidTr="00EA38F7">
        <w:tc>
          <w:tcPr>
            <w:tcW w:w="6096" w:type="dxa"/>
          </w:tcPr>
          <w:p w:rsidR="00401A42" w:rsidRDefault="00401A42" w:rsidP="00401A42">
            <w:pPr>
              <w:pStyle w:val="ListParagraph"/>
              <w:ind w:left="0"/>
            </w:pPr>
            <w:r>
              <w:t>Notification of Preferred Bidder (Standstill period)</w:t>
            </w:r>
          </w:p>
        </w:tc>
        <w:tc>
          <w:tcPr>
            <w:tcW w:w="3544" w:type="dxa"/>
          </w:tcPr>
          <w:p w:rsidR="00401A42" w:rsidRDefault="00401A42" w:rsidP="00401A42">
            <w:pPr>
              <w:pStyle w:val="ListParagraph"/>
              <w:ind w:left="0"/>
            </w:pPr>
          </w:p>
        </w:tc>
      </w:tr>
      <w:tr w:rsidR="00401A42" w:rsidTr="00EA38F7">
        <w:tc>
          <w:tcPr>
            <w:tcW w:w="6096" w:type="dxa"/>
          </w:tcPr>
          <w:p w:rsidR="00401A42" w:rsidRDefault="00401A42" w:rsidP="00401A42">
            <w:pPr>
              <w:pStyle w:val="ListParagraph"/>
              <w:ind w:left="0"/>
            </w:pPr>
            <w:r>
              <w:t>Contract Award</w:t>
            </w:r>
          </w:p>
        </w:tc>
        <w:tc>
          <w:tcPr>
            <w:tcW w:w="3544" w:type="dxa"/>
          </w:tcPr>
          <w:p w:rsidR="00401A42" w:rsidRDefault="00401A42" w:rsidP="00401A42">
            <w:pPr>
              <w:pStyle w:val="ListParagraph"/>
              <w:ind w:left="0"/>
            </w:pPr>
          </w:p>
        </w:tc>
      </w:tr>
      <w:tr w:rsidR="00401A42" w:rsidTr="00EA38F7">
        <w:tc>
          <w:tcPr>
            <w:tcW w:w="6096" w:type="dxa"/>
          </w:tcPr>
          <w:p w:rsidR="00401A42" w:rsidRDefault="00401A42" w:rsidP="00401A42">
            <w:pPr>
              <w:pStyle w:val="ListParagraph"/>
              <w:ind w:left="0"/>
            </w:pPr>
            <w:r>
              <w:t>Contract Go-live</w:t>
            </w:r>
          </w:p>
        </w:tc>
        <w:tc>
          <w:tcPr>
            <w:tcW w:w="3544" w:type="dxa"/>
          </w:tcPr>
          <w:p w:rsidR="00401A42" w:rsidRDefault="00401A42" w:rsidP="00401A42">
            <w:pPr>
              <w:pStyle w:val="ListParagraph"/>
              <w:ind w:left="0"/>
            </w:pPr>
          </w:p>
        </w:tc>
      </w:tr>
    </w:tbl>
    <w:p w:rsidR="00401A42" w:rsidRDefault="00401A42" w:rsidP="00401A42">
      <w:pPr>
        <w:pStyle w:val="ListParagraph"/>
        <w:ind w:left="1080"/>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333FF"/>
        <w:tblLook w:val="04A0" w:firstRow="1" w:lastRow="0" w:firstColumn="1" w:lastColumn="0" w:noHBand="0" w:noVBand="1"/>
      </w:tblPr>
      <w:tblGrid>
        <w:gridCol w:w="9606"/>
      </w:tblGrid>
      <w:tr w:rsidR="00054B5F" w:rsidRPr="001A76AF" w:rsidTr="00EA38F7">
        <w:tc>
          <w:tcPr>
            <w:tcW w:w="9606" w:type="dxa"/>
            <w:shd w:val="clear" w:color="auto" w:fill="3333FF"/>
          </w:tcPr>
          <w:p w:rsidR="00054B5F" w:rsidRPr="001A76AF" w:rsidRDefault="00054B5F" w:rsidP="00B1513A">
            <w:pPr>
              <w:pStyle w:val="ListParagraph"/>
              <w:numPr>
                <w:ilvl w:val="0"/>
                <w:numId w:val="1"/>
              </w:numPr>
              <w:spacing w:before="40" w:after="40"/>
              <w:ind w:left="567" w:hanging="567"/>
              <w:rPr>
                <w:b/>
                <w:color w:val="FFFFFF" w:themeColor="background1"/>
              </w:rPr>
            </w:pPr>
            <w:r>
              <w:rPr>
                <w:b/>
                <w:color w:val="FFFFFF" w:themeColor="background1"/>
              </w:rPr>
              <w:t>COMMERCIAL PERFORMANCE</w:t>
            </w:r>
          </w:p>
        </w:tc>
      </w:tr>
    </w:tbl>
    <w:p w:rsidR="00054B5F" w:rsidRDefault="00054B5F" w:rsidP="00054B5F">
      <w:pPr>
        <w:pStyle w:val="ListParagraph"/>
        <w:ind w:left="0"/>
      </w:pPr>
    </w:p>
    <w:p w:rsidR="004B736F" w:rsidRDefault="004B736F" w:rsidP="004B736F">
      <w:pPr>
        <w:pStyle w:val="ListParagraph"/>
        <w:numPr>
          <w:ilvl w:val="1"/>
          <w:numId w:val="1"/>
        </w:numPr>
        <w:ind w:left="567" w:hanging="567"/>
      </w:pPr>
      <w:r>
        <w:t>Detail the form of contract to be used.</w:t>
      </w:r>
    </w:p>
    <w:tbl>
      <w:tblPr>
        <w:tblStyle w:val="TableGrid"/>
        <w:tblW w:w="9606" w:type="dxa"/>
        <w:tblLook w:val="04A0" w:firstRow="1" w:lastRow="0" w:firstColumn="1" w:lastColumn="0" w:noHBand="0" w:noVBand="1"/>
      </w:tblPr>
      <w:tblGrid>
        <w:gridCol w:w="9606"/>
      </w:tblGrid>
      <w:tr w:rsidR="004B736F" w:rsidTr="00EA38F7">
        <w:tc>
          <w:tcPr>
            <w:tcW w:w="9606" w:type="dxa"/>
          </w:tcPr>
          <w:p w:rsidR="004B736F" w:rsidRDefault="00653437" w:rsidP="000F2A69">
            <w:pPr>
              <w:pStyle w:val="ListParagraph"/>
              <w:ind w:left="0"/>
            </w:pPr>
            <w:r>
              <w:t>This will be a tri-partite contract between Oxford City Council, LASER and the energy suppliers. Legal will be consulted prior to signing.</w:t>
            </w:r>
          </w:p>
        </w:tc>
      </w:tr>
    </w:tbl>
    <w:p w:rsidR="00B1513A" w:rsidRDefault="00B1513A" w:rsidP="00B1513A">
      <w:pPr>
        <w:pStyle w:val="ListParagraph"/>
        <w:ind w:left="567"/>
      </w:pPr>
    </w:p>
    <w:p w:rsidR="00B1513A" w:rsidRDefault="00B1513A" w:rsidP="00B1513A">
      <w:pPr>
        <w:pStyle w:val="ListParagraph"/>
        <w:numPr>
          <w:ilvl w:val="1"/>
          <w:numId w:val="1"/>
        </w:numPr>
        <w:ind w:left="567" w:hanging="567"/>
      </w:pPr>
      <w:r>
        <w:t>What key clauses that support the Council’s corporate plan or policies are t</w:t>
      </w:r>
      <w:r w:rsidR="00E164D6">
        <w:t>o be included into the contract?</w:t>
      </w:r>
    </w:p>
    <w:tbl>
      <w:tblPr>
        <w:tblStyle w:val="TableGrid"/>
        <w:tblW w:w="9606" w:type="dxa"/>
        <w:tblLook w:val="04A0" w:firstRow="1" w:lastRow="0" w:firstColumn="1" w:lastColumn="0" w:noHBand="0" w:noVBand="1"/>
      </w:tblPr>
      <w:tblGrid>
        <w:gridCol w:w="9606"/>
      </w:tblGrid>
      <w:tr w:rsidR="00B1513A" w:rsidTr="00EA38F7">
        <w:tc>
          <w:tcPr>
            <w:tcW w:w="9606" w:type="dxa"/>
          </w:tcPr>
          <w:p w:rsidR="00B1513A" w:rsidRDefault="00F8244F" w:rsidP="001F2018">
            <w:pPr>
              <w:pStyle w:val="ListParagraph"/>
              <w:ind w:left="567" w:hanging="567"/>
            </w:pPr>
            <w:r>
              <w:t>This is not applicable to this contract</w:t>
            </w:r>
          </w:p>
        </w:tc>
      </w:tr>
    </w:tbl>
    <w:p w:rsidR="004B736F" w:rsidRDefault="004B736F" w:rsidP="004B736F">
      <w:pPr>
        <w:pStyle w:val="ListParagraph"/>
        <w:ind w:left="567"/>
      </w:pPr>
    </w:p>
    <w:p w:rsidR="00054B5F" w:rsidRDefault="00054B5F" w:rsidP="007D720E">
      <w:pPr>
        <w:pStyle w:val="ListParagraph"/>
        <w:numPr>
          <w:ilvl w:val="1"/>
          <w:numId w:val="1"/>
        </w:numPr>
        <w:ind w:left="567" w:hanging="567"/>
      </w:pPr>
      <w:r>
        <w:t>Describe what price controls will be contained in the contract</w:t>
      </w:r>
      <w:r w:rsidR="009B52AD">
        <w:t>.</w:t>
      </w:r>
    </w:p>
    <w:tbl>
      <w:tblPr>
        <w:tblStyle w:val="TableGrid"/>
        <w:tblW w:w="9606" w:type="dxa"/>
        <w:tblLook w:val="04A0" w:firstRow="1" w:lastRow="0" w:firstColumn="1" w:lastColumn="0" w:noHBand="0" w:noVBand="1"/>
      </w:tblPr>
      <w:tblGrid>
        <w:gridCol w:w="9606"/>
      </w:tblGrid>
      <w:tr w:rsidR="00054B5F" w:rsidTr="00EA38F7">
        <w:tc>
          <w:tcPr>
            <w:tcW w:w="9606" w:type="dxa"/>
          </w:tcPr>
          <w:p w:rsidR="00054B5F" w:rsidRDefault="00054B5F" w:rsidP="00EA38F7">
            <w:pPr>
              <w:pStyle w:val="ListParagraph"/>
              <w:ind w:left="0"/>
            </w:pPr>
            <w:r>
              <w:t>If indexation is proposed, please state rationale</w:t>
            </w:r>
            <w:r w:rsidR="00EA38F7">
              <w:t xml:space="preserve"> and confirm that the Finance Business </w:t>
            </w:r>
            <w:r w:rsidR="00EA38F7">
              <w:lastRenderedPageBreak/>
              <w:t xml:space="preserve">Partner agrees with the proposed </w:t>
            </w:r>
            <w:proofErr w:type="spellStart"/>
            <w:r w:rsidR="00EA38F7">
              <w:t>indice</w:t>
            </w:r>
            <w:proofErr w:type="spellEnd"/>
            <w:r w:rsidR="001F2018">
              <w:t>.</w:t>
            </w:r>
          </w:p>
        </w:tc>
      </w:tr>
    </w:tbl>
    <w:p w:rsidR="004B736F" w:rsidRDefault="004B736F" w:rsidP="004B736F">
      <w:pPr>
        <w:pStyle w:val="ListParagraph"/>
        <w:ind w:left="567"/>
      </w:pPr>
    </w:p>
    <w:p w:rsidR="004B736F" w:rsidRDefault="004B736F" w:rsidP="004B736F">
      <w:pPr>
        <w:pStyle w:val="ListParagraph"/>
        <w:numPr>
          <w:ilvl w:val="1"/>
          <w:numId w:val="1"/>
        </w:numPr>
        <w:ind w:left="567" w:hanging="567"/>
      </w:pPr>
      <w:r>
        <w:t>Detail what KPI’s will be applicable to the contract and summarise what management information will be required from the appointed Contractor.</w:t>
      </w:r>
    </w:p>
    <w:tbl>
      <w:tblPr>
        <w:tblStyle w:val="TableGrid"/>
        <w:tblW w:w="9606" w:type="dxa"/>
        <w:tblLook w:val="04A0" w:firstRow="1" w:lastRow="0" w:firstColumn="1" w:lastColumn="0" w:noHBand="0" w:noVBand="1"/>
      </w:tblPr>
      <w:tblGrid>
        <w:gridCol w:w="9606"/>
      </w:tblGrid>
      <w:tr w:rsidR="004B736F" w:rsidTr="00EA38F7">
        <w:tc>
          <w:tcPr>
            <w:tcW w:w="9606" w:type="dxa"/>
          </w:tcPr>
          <w:p w:rsidR="004B736F" w:rsidRDefault="00C71AB4" w:rsidP="009B303A">
            <w:pPr>
              <w:pStyle w:val="ListParagraph"/>
              <w:ind w:left="567" w:hanging="567"/>
            </w:pPr>
            <w:r>
              <w:t xml:space="preserve">Quarterly client meeting with LASER key account manager to assess portfolio performance </w:t>
            </w:r>
          </w:p>
          <w:p w:rsidR="00C66C03" w:rsidRDefault="00C66C03" w:rsidP="009B303A">
            <w:pPr>
              <w:pStyle w:val="ListParagraph"/>
              <w:ind w:left="567" w:hanging="567"/>
            </w:pPr>
            <w:r>
              <w:t>Twice yearly customers meeting held at LASER HQ – one to be attended per year by member of the Council’s energy team (finance/procurement personnel also encouraged/open to attend)</w:t>
            </w:r>
          </w:p>
          <w:p w:rsidR="00C71AB4" w:rsidRDefault="00C71AB4" w:rsidP="009B303A">
            <w:pPr>
              <w:pStyle w:val="ListParagraph"/>
              <w:ind w:left="567" w:hanging="567"/>
            </w:pPr>
            <w:r>
              <w:t xml:space="preserve">Quarterly reporting of LASER basket performance and price projections to help inform </w:t>
            </w:r>
            <w:proofErr w:type="spellStart"/>
            <w:r>
              <w:t>ongoing</w:t>
            </w:r>
            <w:proofErr w:type="spellEnd"/>
            <w:r>
              <w:t xml:space="preserve"> procurement decisions (</w:t>
            </w:r>
            <w:proofErr w:type="spellStart"/>
            <w:r>
              <w:t>eg</w:t>
            </w:r>
            <w:proofErr w:type="spellEnd"/>
            <w:r>
              <w:t xml:space="preserve"> if strategically wanted to shift to another flexible basket during the contract)</w:t>
            </w:r>
          </w:p>
          <w:p w:rsidR="00C66C03" w:rsidRDefault="00C71AB4" w:rsidP="00C66C03">
            <w:pPr>
              <w:pStyle w:val="ListParagraph"/>
              <w:ind w:left="567" w:hanging="567"/>
            </w:pPr>
            <w:r>
              <w:t xml:space="preserve">Prompt issuing of final </w:t>
            </w:r>
            <w:r w:rsidR="00C66C03">
              <w:t xml:space="preserve">unit energy </w:t>
            </w:r>
            <w:r>
              <w:t xml:space="preserve">price for the </w:t>
            </w:r>
            <w:r w:rsidR="00C66C03">
              <w:t xml:space="preserve">flexible </w:t>
            </w:r>
            <w:r>
              <w:t>contract cycle period 1 Oct to 30 Sept – as soon as practicable and no later than 1</w:t>
            </w:r>
            <w:r w:rsidRPr="00413F6A">
              <w:rPr>
                <w:vertAlign w:val="superscript"/>
              </w:rPr>
              <w:t>st</w:t>
            </w:r>
            <w:r>
              <w:t xml:space="preserve"> November each year</w:t>
            </w:r>
          </w:p>
          <w:p w:rsidR="00C71AB4" w:rsidRDefault="00C71AB4" w:rsidP="00C71AB4">
            <w:pPr>
              <w:pStyle w:val="ListParagraph"/>
              <w:ind w:left="567" w:hanging="567"/>
            </w:pPr>
          </w:p>
        </w:tc>
      </w:tr>
    </w:tbl>
    <w:p w:rsidR="004B736F" w:rsidRDefault="004B736F" w:rsidP="004B736F">
      <w:pPr>
        <w:pStyle w:val="ListParagraph"/>
        <w:ind w:left="567" w:hanging="567"/>
      </w:pPr>
    </w:p>
    <w:p w:rsidR="004B736F" w:rsidRDefault="004B736F" w:rsidP="004B736F">
      <w:pPr>
        <w:pStyle w:val="ListParagraph"/>
        <w:numPr>
          <w:ilvl w:val="1"/>
          <w:numId w:val="1"/>
        </w:numPr>
        <w:ind w:left="567" w:hanging="567"/>
      </w:pPr>
      <w:r>
        <w:t>Describe any mechanisms that will be put in place to ensure that the contract will deliver continual value for money.</w:t>
      </w:r>
    </w:p>
    <w:tbl>
      <w:tblPr>
        <w:tblStyle w:val="TableGrid"/>
        <w:tblW w:w="9606" w:type="dxa"/>
        <w:tblLook w:val="04A0" w:firstRow="1" w:lastRow="0" w:firstColumn="1" w:lastColumn="0" w:noHBand="0" w:noVBand="1"/>
      </w:tblPr>
      <w:tblGrid>
        <w:gridCol w:w="9606"/>
      </w:tblGrid>
      <w:tr w:rsidR="004B736F" w:rsidTr="00EA38F7">
        <w:tc>
          <w:tcPr>
            <w:tcW w:w="9606" w:type="dxa"/>
          </w:tcPr>
          <w:p w:rsidR="004B736F" w:rsidRDefault="00C71AB4" w:rsidP="00C66C03">
            <w:pPr>
              <w:pStyle w:val="ListParagraph"/>
              <w:ind w:left="567" w:hanging="567"/>
            </w:pPr>
            <w:r>
              <w:t>There is full flexibility to move supplies in to the range of baskets that LASER offer during the period of the contract meaning that if performance of certain basket options are performing well</w:t>
            </w:r>
            <w:r w:rsidR="00C66C03">
              <w:t>,</w:t>
            </w:r>
            <w:r>
              <w:t xml:space="preserve"> OCC could proactively arrange to move</w:t>
            </w:r>
            <w:r w:rsidR="00C15E8D">
              <w:t xml:space="preserve"> (6 </w:t>
            </w:r>
            <w:proofErr w:type="spellStart"/>
            <w:r w:rsidR="00C15E8D">
              <w:t>months notice</w:t>
            </w:r>
            <w:proofErr w:type="spellEnd"/>
            <w:r w:rsidR="00C15E8D">
              <w:t xml:space="preserve"> prior to each 1 October anniversary required – </w:t>
            </w:r>
            <w:proofErr w:type="spellStart"/>
            <w:r w:rsidR="00C15E8D">
              <w:t>eg</w:t>
            </w:r>
            <w:proofErr w:type="spellEnd"/>
            <w:r w:rsidR="00C15E8D">
              <w:t xml:space="preserve"> by 31 Mar 16 for 1 Oct 16 start)</w:t>
            </w:r>
            <w:r>
              <w:t>. This is part of the roles and responsibilities of the Council’s energy team. Quarterly meetings/rep</w:t>
            </w:r>
            <w:r w:rsidR="00C66C03">
              <w:t>orts on energy and water spend can</w:t>
            </w:r>
            <w:r>
              <w:t xml:space="preserve"> be held with key finance personnel/business partners</w:t>
            </w:r>
            <w:r w:rsidR="00C66C03">
              <w:t xml:space="preserve"> to provide overview of portfolio spend and assist with energy spend forecasting/budgeting (this will be facilitated further by the move to group electronic energy billing (this is independent of the energy supplier/broker service in place)</w:t>
            </w:r>
            <w:r w:rsidR="00C15E8D">
              <w:t>. This will also inform any decision on whether supplies would be swapped to alternative baskets.</w:t>
            </w:r>
          </w:p>
        </w:tc>
      </w:tr>
    </w:tbl>
    <w:p w:rsidR="00401A42" w:rsidRDefault="00401A42" w:rsidP="007D720E">
      <w:pPr>
        <w:pStyle w:val="ListParagraph"/>
        <w:ind w:left="567" w:hanging="567"/>
      </w:pPr>
    </w:p>
    <w:p w:rsidR="001F2018" w:rsidRDefault="00054B5F" w:rsidP="007D720E">
      <w:pPr>
        <w:pStyle w:val="ListParagraph"/>
        <w:numPr>
          <w:ilvl w:val="1"/>
          <w:numId w:val="1"/>
        </w:numPr>
        <w:ind w:left="567" w:hanging="567"/>
      </w:pPr>
      <w:r>
        <w:t>Selection and evaluation methodology</w:t>
      </w:r>
      <w:r w:rsidR="009B52AD">
        <w:t xml:space="preserve"> attached as</w:t>
      </w:r>
      <w:r>
        <w:t xml:space="preserve"> Appendix</w:t>
      </w:r>
      <w:r w:rsidR="009B52AD">
        <w:t xml:space="preserve"> A?</w:t>
      </w:r>
      <w:r>
        <w:t xml:space="preserve">   </w:t>
      </w:r>
    </w:p>
    <w:p w:rsidR="000D5B95" w:rsidRDefault="001F2018" w:rsidP="001F2018">
      <w:pPr>
        <w:pStyle w:val="ListParagraph"/>
        <w:ind w:left="567"/>
        <w:jc w:val="right"/>
      </w:pPr>
      <w:r>
        <w:t xml:space="preserve">Attached </w:t>
      </w:r>
      <w:r w:rsidR="00054B5F">
        <w:t>No</w:t>
      </w:r>
    </w:p>
    <w:p w:rsidR="000D5B95" w:rsidRDefault="000D5B95" w:rsidP="007D720E">
      <w:pPr>
        <w:pStyle w:val="ListParagraph"/>
        <w:ind w:left="567" w:hanging="567"/>
      </w:pPr>
    </w:p>
    <w:p w:rsidR="00CA7071" w:rsidRPr="00FE29C2" w:rsidRDefault="00CA7071" w:rsidP="00CA7071">
      <w:pPr>
        <w:rPr>
          <w:b/>
        </w:rPr>
      </w:pPr>
    </w:p>
    <w:tbl>
      <w:tblPr>
        <w:tblStyle w:val="TableGrid"/>
        <w:tblW w:w="9606" w:type="dxa"/>
        <w:tblLook w:val="04A0" w:firstRow="1" w:lastRow="0" w:firstColumn="1" w:lastColumn="0" w:noHBand="0" w:noVBand="1"/>
      </w:tblPr>
      <w:tblGrid>
        <w:gridCol w:w="1951"/>
        <w:gridCol w:w="7655"/>
      </w:tblGrid>
      <w:tr w:rsidR="00FE29C2" w:rsidRPr="00FE29C2" w:rsidTr="005E46A2">
        <w:tc>
          <w:tcPr>
            <w:tcW w:w="9606" w:type="dxa"/>
            <w:gridSpan w:val="2"/>
            <w:tcBorders>
              <w:bottom w:val="single" w:sz="4" w:space="0" w:color="auto"/>
            </w:tcBorders>
            <w:shd w:val="clear" w:color="auto" w:fill="0000CC"/>
          </w:tcPr>
          <w:p w:rsidR="00FE29C2" w:rsidRPr="00FE29C2" w:rsidRDefault="00FE29C2" w:rsidP="00FE29C2">
            <w:pPr>
              <w:spacing w:before="120" w:after="60"/>
              <w:rPr>
                <w:color w:val="FFFFFF" w:themeColor="background1"/>
              </w:rPr>
            </w:pPr>
            <w:r w:rsidRPr="00FE29C2">
              <w:rPr>
                <w:b/>
                <w:color w:val="FFFFFF" w:themeColor="background1"/>
              </w:rPr>
              <w:t xml:space="preserve">Part A – Procurement </w:t>
            </w:r>
            <w:r w:rsidR="003A1427">
              <w:rPr>
                <w:b/>
                <w:color w:val="FFFFFF" w:themeColor="background1"/>
              </w:rPr>
              <w:t xml:space="preserve">Team </w:t>
            </w:r>
            <w:r w:rsidRPr="00FE29C2">
              <w:rPr>
                <w:b/>
                <w:color w:val="FFFFFF" w:themeColor="background1"/>
              </w:rPr>
              <w:t>approval to commence procurement process as per strategy outlined above</w:t>
            </w:r>
          </w:p>
        </w:tc>
      </w:tr>
      <w:tr w:rsidR="005E46A2" w:rsidRPr="00FE29C2" w:rsidTr="005E46A2">
        <w:tc>
          <w:tcPr>
            <w:tcW w:w="9606" w:type="dxa"/>
            <w:gridSpan w:val="2"/>
            <w:shd w:val="clear" w:color="auto" w:fill="FFFFFF" w:themeFill="background1"/>
          </w:tcPr>
          <w:p w:rsidR="005E46A2" w:rsidRPr="005E46A2" w:rsidRDefault="005E46A2" w:rsidP="00FE29C2">
            <w:pPr>
              <w:spacing w:before="120" w:after="60"/>
              <w:rPr>
                <w:color w:val="FFFFFF" w:themeColor="background1"/>
              </w:rPr>
            </w:pPr>
            <w:r>
              <w:t>Insert any comments</w:t>
            </w:r>
          </w:p>
        </w:tc>
      </w:tr>
      <w:tr w:rsidR="00FE29C2" w:rsidTr="000277C4">
        <w:tc>
          <w:tcPr>
            <w:tcW w:w="1951" w:type="dxa"/>
            <w:shd w:val="clear" w:color="auto" w:fill="E7F6FF"/>
          </w:tcPr>
          <w:p w:rsidR="00FE29C2" w:rsidRPr="000277C4" w:rsidRDefault="00FE29C2" w:rsidP="00FE29C2">
            <w:pPr>
              <w:spacing w:before="120" w:after="60"/>
              <w:rPr>
                <w:b/>
              </w:rPr>
            </w:pPr>
            <w:r w:rsidRPr="000277C4">
              <w:rPr>
                <w:b/>
              </w:rPr>
              <w:t>Approved by</w:t>
            </w:r>
          </w:p>
        </w:tc>
        <w:tc>
          <w:tcPr>
            <w:tcW w:w="7655" w:type="dxa"/>
          </w:tcPr>
          <w:p w:rsidR="00FE29C2" w:rsidRDefault="00FE29C2" w:rsidP="00FE29C2">
            <w:pPr>
              <w:spacing w:before="120" w:after="60"/>
            </w:pPr>
          </w:p>
        </w:tc>
      </w:tr>
      <w:tr w:rsidR="00FE29C2" w:rsidTr="000277C4">
        <w:tc>
          <w:tcPr>
            <w:tcW w:w="1951" w:type="dxa"/>
            <w:shd w:val="clear" w:color="auto" w:fill="E7F6FF"/>
          </w:tcPr>
          <w:p w:rsidR="00FE29C2" w:rsidRPr="000277C4" w:rsidRDefault="00FE29C2" w:rsidP="00FE29C2">
            <w:pPr>
              <w:spacing w:before="120" w:after="60"/>
              <w:rPr>
                <w:b/>
              </w:rPr>
            </w:pPr>
            <w:r w:rsidRPr="000277C4">
              <w:rPr>
                <w:b/>
              </w:rPr>
              <w:t>Date</w:t>
            </w:r>
          </w:p>
        </w:tc>
        <w:tc>
          <w:tcPr>
            <w:tcW w:w="7655" w:type="dxa"/>
          </w:tcPr>
          <w:p w:rsidR="00FE29C2" w:rsidRDefault="00FE29C2" w:rsidP="00FE29C2">
            <w:pPr>
              <w:spacing w:before="120" w:after="60"/>
            </w:pPr>
          </w:p>
        </w:tc>
      </w:tr>
    </w:tbl>
    <w:p w:rsidR="00CA7071" w:rsidRDefault="00CA7071" w:rsidP="00CA7071"/>
    <w:p w:rsidR="000277C4" w:rsidRDefault="000277C4" w:rsidP="00CA7071"/>
    <w:p w:rsidR="000277C4" w:rsidRDefault="000277C4" w:rsidP="00CA7071"/>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ook w:val="04A0" w:firstRow="1" w:lastRow="0" w:firstColumn="1" w:lastColumn="0" w:noHBand="0" w:noVBand="1"/>
      </w:tblPr>
      <w:tblGrid>
        <w:gridCol w:w="9606"/>
      </w:tblGrid>
      <w:tr w:rsidR="000277C4" w:rsidRPr="001A76AF" w:rsidTr="000277C4">
        <w:tc>
          <w:tcPr>
            <w:tcW w:w="9606" w:type="dxa"/>
            <w:shd w:val="clear" w:color="auto" w:fill="000000" w:themeFill="text1"/>
          </w:tcPr>
          <w:p w:rsidR="000277C4" w:rsidRPr="000277C4" w:rsidRDefault="000277C4" w:rsidP="000277C4">
            <w:pPr>
              <w:pStyle w:val="ListParagraph"/>
              <w:spacing w:before="60" w:after="60"/>
              <w:ind w:left="567" w:hanging="567"/>
              <w:rPr>
                <w:b/>
                <w:sz w:val="28"/>
                <w:szCs w:val="28"/>
              </w:rPr>
            </w:pPr>
            <w:r w:rsidRPr="00FE29C2">
              <w:rPr>
                <w:b/>
                <w:sz w:val="28"/>
                <w:szCs w:val="28"/>
              </w:rPr>
              <w:t xml:space="preserve">Part B – post </w:t>
            </w:r>
            <w:r>
              <w:rPr>
                <w:b/>
                <w:sz w:val="28"/>
                <w:szCs w:val="28"/>
              </w:rPr>
              <w:t>procurement</w:t>
            </w:r>
          </w:p>
        </w:tc>
      </w:tr>
    </w:tbl>
    <w:p w:rsidR="00FE29C2" w:rsidRDefault="00FE29C2" w:rsidP="007D720E">
      <w:pPr>
        <w:pStyle w:val="ListParagraph"/>
        <w:ind w:left="567" w:hanging="567"/>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333FF"/>
        <w:tblLook w:val="04A0" w:firstRow="1" w:lastRow="0" w:firstColumn="1" w:lastColumn="0" w:noHBand="0" w:noVBand="1"/>
      </w:tblPr>
      <w:tblGrid>
        <w:gridCol w:w="9606"/>
      </w:tblGrid>
      <w:tr w:rsidR="00F74523" w:rsidRPr="001A76AF" w:rsidTr="00EA38F7">
        <w:tc>
          <w:tcPr>
            <w:tcW w:w="9606" w:type="dxa"/>
            <w:shd w:val="clear" w:color="auto" w:fill="3333FF"/>
          </w:tcPr>
          <w:p w:rsidR="00F74523" w:rsidRPr="001A76AF" w:rsidRDefault="00F74523" w:rsidP="007D720E">
            <w:pPr>
              <w:pStyle w:val="ListParagraph"/>
              <w:numPr>
                <w:ilvl w:val="0"/>
                <w:numId w:val="1"/>
              </w:numPr>
              <w:spacing w:before="40" w:after="40"/>
              <w:ind w:left="567" w:hanging="567"/>
              <w:rPr>
                <w:b/>
                <w:color w:val="FFFFFF" w:themeColor="background1"/>
              </w:rPr>
            </w:pPr>
            <w:r>
              <w:rPr>
                <w:b/>
                <w:color w:val="FFFFFF" w:themeColor="background1"/>
              </w:rPr>
              <w:t>POST TENDER EXECUTION</w:t>
            </w:r>
          </w:p>
        </w:tc>
      </w:tr>
    </w:tbl>
    <w:p w:rsidR="00F74523" w:rsidRDefault="00F74523" w:rsidP="007D720E">
      <w:pPr>
        <w:pStyle w:val="ListParagraph"/>
        <w:ind w:left="567" w:hanging="567"/>
      </w:pPr>
    </w:p>
    <w:p w:rsidR="00F74523" w:rsidRDefault="00F74523" w:rsidP="007D720E">
      <w:pPr>
        <w:pStyle w:val="ListParagraph"/>
        <w:numPr>
          <w:ilvl w:val="1"/>
          <w:numId w:val="1"/>
        </w:numPr>
        <w:ind w:left="567" w:hanging="567"/>
      </w:pPr>
      <w:r>
        <w:lastRenderedPageBreak/>
        <w:t>Name(s) of successful Bidder</w:t>
      </w:r>
      <w:r w:rsidR="009B52AD">
        <w:t>.</w:t>
      </w:r>
    </w:p>
    <w:tbl>
      <w:tblPr>
        <w:tblStyle w:val="TableGrid"/>
        <w:tblW w:w="9606" w:type="dxa"/>
        <w:tblLook w:val="04A0" w:firstRow="1" w:lastRow="0" w:firstColumn="1" w:lastColumn="0" w:noHBand="0" w:noVBand="1"/>
      </w:tblPr>
      <w:tblGrid>
        <w:gridCol w:w="9606"/>
      </w:tblGrid>
      <w:tr w:rsidR="00F74523" w:rsidTr="00EA38F7">
        <w:tc>
          <w:tcPr>
            <w:tcW w:w="9606" w:type="dxa"/>
          </w:tcPr>
          <w:p w:rsidR="00F74523" w:rsidRDefault="00F74523" w:rsidP="007D720E">
            <w:pPr>
              <w:pStyle w:val="ListParagraph"/>
              <w:ind w:left="567" w:hanging="567"/>
            </w:pPr>
          </w:p>
        </w:tc>
      </w:tr>
    </w:tbl>
    <w:p w:rsidR="00F74523" w:rsidRDefault="00F74523" w:rsidP="007D720E">
      <w:pPr>
        <w:pStyle w:val="ListParagraph"/>
        <w:ind w:left="567" w:hanging="567"/>
      </w:pPr>
    </w:p>
    <w:p w:rsidR="001F2018" w:rsidRDefault="00F74523" w:rsidP="007D720E">
      <w:pPr>
        <w:pStyle w:val="ListParagraph"/>
        <w:numPr>
          <w:ilvl w:val="1"/>
          <w:numId w:val="1"/>
        </w:numPr>
        <w:ind w:left="567" w:hanging="567"/>
      </w:pPr>
      <w:r>
        <w:t>Tender Evaluation Report attached as Appendix B</w:t>
      </w:r>
      <w:r w:rsidR="009B52AD">
        <w:t xml:space="preserve">?  </w:t>
      </w:r>
    </w:p>
    <w:p w:rsidR="00F74523" w:rsidRDefault="001F2018" w:rsidP="001F2018">
      <w:pPr>
        <w:pStyle w:val="ListParagraph"/>
        <w:ind w:left="567"/>
        <w:jc w:val="right"/>
      </w:pPr>
      <w:r>
        <w:t xml:space="preserve">Attached </w:t>
      </w:r>
      <w:r w:rsidR="00F74523">
        <w:t>Yes / No</w:t>
      </w:r>
    </w:p>
    <w:p w:rsidR="00F74523" w:rsidRDefault="00F74523" w:rsidP="007D720E">
      <w:pPr>
        <w:pStyle w:val="ListParagraph"/>
        <w:ind w:left="567" w:hanging="567"/>
      </w:pPr>
    </w:p>
    <w:p w:rsidR="001F2018" w:rsidRDefault="00F74523" w:rsidP="007D720E">
      <w:pPr>
        <w:pStyle w:val="ListParagraph"/>
        <w:numPr>
          <w:ilvl w:val="1"/>
          <w:numId w:val="1"/>
        </w:numPr>
        <w:ind w:left="567" w:hanging="567"/>
      </w:pPr>
      <w:r>
        <w:t>Has the Bidder agreed to all contractual</w:t>
      </w:r>
      <w:r w:rsidR="00286213">
        <w:t xml:space="preserve"> terms?  </w:t>
      </w:r>
    </w:p>
    <w:p w:rsidR="00401A42" w:rsidRDefault="00F74523" w:rsidP="001F2018">
      <w:pPr>
        <w:pStyle w:val="ListParagraph"/>
        <w:ind w:left="567"/>
        <w:jc w:val="right"/>
      </w:pPr>
      <w:r>
        <w:t>Yes / No</w:t>
      </w:r>
    </w:p>
    <w:tbl>
      <w:tblPr>
        <w:tblStyle w:val="TableGrid"/>
        <w:tblW w:w="9606" w:type="dxa"/>
        <w:tblLook w:val="04A0" w:firstRow="1" w:lastRow="0" w:firstColumn="1" w:lastColumn="0" w:noHBand="0" w:noVBand="1"/>
      </w:tblPr>
      <w:tblGrid>
        <w:gridCol w:w="9606"/>
      </w:tblGrid>
      <w:tr w:rsidR="00401A42" w:rsidTr="00EA38F7">
        <w:tc>
          <w:tcPr>
            <w:tcW w:w="9606" w:type="dxa"/>
          </w:tcPr>
          <w:p w:rsidR="00401A42" w:rsidRDefault="00401A42" w:rsidP="007D720E">
            <w:pPr>
              <w:pStyle w:val="ListParagraph"/>
              <w:ind w:left="567" w:hanging="567"/>
            </w:pPr>
            <w:r>
              <w:t xml:space="preserve">If </w:t>
            </w:r>
            <w:r w:rsidR="00F74523">
              <w:t xml:space="preserve">No, </w:t>
            </w:r>
            <w:r w:rsidR="007D720E">
              <w:t>provide full details of the Bidders position</w:t>
            </w:r>
          </w:p>
        </w:tc>
      </w:tr>
    </w:tbl>
    <w:p w:rsidR="000D5B95" w:rsidRDefault="000D5B95" w:rsidP="007D720E">
      <w:pPr>
        <w:pStyle w:val="ListParagraph"/>
        <w:ind w:left="567" w:hanging="567"/>
      </w:pPr>
    </w:p>
    <w:p w:rsidR="001F2018" w:rsidRDefault="007D720E" w:rsidP="007D720E">
      <w:pPr>
        <w:pStyle w:val="ListParagraph"/>
        <w:numPr>
          <w:ilvl w:val="1"/>
          <w:numId w:val="1"/>
        </w:numPr>
        <w:ind w:left="567" w:hanging="567"/>
      </w:pPr>
      <w:r>
        <w:t>Is there any potential challenge to awarding the contract</w:t>
      </w:r>
      <w:r w:rsidR="009B52AD">
        <w:t xml:space="preserve">?  </w:t>
      </w:r>
    </w:p>
    <w:p w:rsidR="007D720E" w:rsidRDefault="007D720E" w:rsidP="001F2018">
      <w:pPr>
        <w:pStyle w:val="ListParagraph"/>
        <w:ind w:left="567"/>
        <w:jc w:val="right"/>
      </w:pPr>
      <w:r>
        <w:t>Yes / No</w:t>
      </w:r>
    </w:p>
    <w:tbl>
      <w:tblPr>
        <w:tblStyle w:val="TableGrid"/>
        <w:tblW w:w="9606" w:type="dxa"/>
        <w:tblLook w:val="04A0" w:firstRow="1" w:lastRow="0" w:firstColumn="1" w:lastColumn="0" w:noHBand="0" w:noVBand="1"/>
      </w:tblPr>
      <w:tblGrid>
        <w:gridCol w:w="9606"/>
      </w:tblGrid>
      <w:tr w:rsidR="007D720E" w:rsidTr="00EA38F7">
        <w:tc>
          <w:tcPr>
            <w:tcW w:w="9606" w:type="dxa"/>
          </w:tcPr>
          <w:p w:rsidR="007D720E" w:rsidRDefault="007D720E" w:rsidP="007D720E">
            <w:pPr>
              <w:pStyle w:val="ListParagraph"/>
              <w:ind w:left="567" w:hanging="567"/>
            </w:pPr>
            <w:r>
              <w:t>If Yes, please full details and mitigation action</w:t>
            </w:r>
          </w:p>
        </w:tc>
      </w:tr>
    </w:tbl>
    <w:p w:rsidR="007D720E" w:rsidRDefault="007D720E" w:rsidP="00AC33D0">
      <w:pPr>
        <w:pStyle w:val="ListParagraph"/>
        <w:ind w:left="0"/>
      </w:pPr>
    </w:p>
    <w:p w:rsidR="001F2018" w:rsidRDefault="009B52AD" w:rsidP="009B52AD">
      <w:pPr>
        <w:pStyle w:val="ListParagraph"/>
        <w:numPr>
          <w:ilvl w:val="1"/>
          <w:numId w:val="1"/>
        </w:numPr>
        <w:ind w:left="567" w:hanging="567"/>
      </w:pPr>
      <w:r>
        <w:t xml:space="preserve">Contract costs are in accordance with funding as detailed in 2.1?  </w:t>
      </w:r>
    </w:p>
    <w:p w:rsidR="009B52AD" w:rsidRDefault="009B52AD" w:rsidP="001F2018">
      <w:pPr>
        <w:pStyle w:val="ListParagraph"/>
        <w:ind w:left="567"/>
        <w:jc w:val="right"/>
      </w:pPr>
      <w:r>
        <w:t>Yes / No</w:t>
      </w:r>
    </w:p>
    <w:tbl>
      <w:tblPr>
        <w:tblStyle w:val="TableGrid"/>
        <w:tblW w:w="9606" w:type="dxa"/>
        <w:tblLook w:val="04A0" w:firstRow="1" w:lastRow="0" w:firstColumn="1" w:lastColumn="0" w:noHBand="0" w:noVBand="1"/>
      </w:tblPr>
      <w:tblGrid>
        <w:gridCol w:w="9606"/>
      </w:tblGrid>
      <w:tr w:rsidR="009B52AD" w:rsidTr="00EA38F7">
        <w:tc>
          <w:tcPr>
            <w:tcW w:w="9606" w:type="dxa"/>
          </w:tcPr>
          <w:p w:rsidR="009B52AD" w:rsidRDefault="009B52AD" w:rsidP="009B52AD">
            <w:pPr>
              <w:pStyle w:val="ListParagraph"/>
              <w:ind w:left="567" w:hanging="567"/>
            </w:pPr>
            <w:r>
              <w:t>If No, please copy and</w:t>
            </w:r>
            <w:r w:rsidR="00EA38F7">
              <w:t xml:space="preserve"> update the table from 2.1 here</w:t>
            </w:r>
          </w:p>
        </w:tc>
      </w:tr>
    </w:tbl>
    <w:p w:rsidR="00B91858" w:rsidRDefault="00B91858" w:rsidP="00AC33D0">
      <w:pPr>
        <w:pStyle w:val="ListParagraph"/>
        <w:ind w:left="0"/>
      </w:pPr>
    </w:p>
    <w:p w:rsidR="001F2018" w:rsidRDefault="009B52AD" w:rsidP="009B52AD">
      <w:pPr>
        <w:pStyle w:val="ListParagraph"/>
        <w:numPr>
          <w:ilvl w:val="1"/>
          <w:numId w:val="1"/>
        </w:numPr>
        <w:ind w:left="567" w:hanging="567"/>
      </w:pPr>
      <w:r>
        <w:t xml:space="preserve">Benefit realisation is in accordance with the forecast as detailed in 2.4? </w:t>
      </w:r>
    </w:p>
    <w:p w:rsidR="009B52AD" w:rsidRDefault="009B52AD" w:rsidP="001F2018">
      <w:pPr>
        <w:pStyle w:val="ListParagraph"/>
        <w:ind w:left="567"/>
        <w:jc w:val="right"/>
      </w:pPr>
      <w:r>
        <w:t>Yes / No</w:t>
      </w:r>
    </w:p>
    <w:tbl>
      <w:tblPr>
        <w:tblStyle w:val="TableGrid"/>
        <w:tblW w:w="9606" w:type="dxa"/>
        <w:tblLook w:val="04A0" w:firstRow="1" w:lastRow="0" w:firstColumn="1" w:lastColumn="0" w:noHBand="0" w:noVBand="1"/>
      </w:tblPr>
      <w:tblGrid>
        <w:gridCol w:w="9606"/>
      </w:tblGrid>
      <w:tr w:rsidR="009B52AD" w:rsidTr="00EA38F7">
        <w:tc>
          <w:tcPr>
            <w:tcW w:w="9606" w:type="dxa"/>
          </w:tcPr>
          <w:p w:rsidR="009B52AD" w:rsidRDefault="009B52AD" w:rsidP="004D1623">
            <w:pPr>
              <w:pStyle w:val="ListParagraph"/>
              <w:ind w:left="567" w:hanging="567"/>
            </w:pPr>
            <w:r>
              <w:t>If No, please copy and</w:t>
            </w:r>
            <w:r w:rsidR="00EA38F7">
              <w:t xml:space="preserve"> update the table from 2.4 here</w:t>
            </w:r>
          </w:p>
        </w:tc>
      </w:tr>
    </w:tbl>
    <w:p w:rsidR="009B52AD" w:rsidRDefault="009B52AD" w:rsidP="009B52AD">
      <w:pPr>
        <w:pStyle w:val="ListParagraph"/>
        <w:ind w:left="0"/>
      </w:pPr>
    </w:p>
    <w:p w:rsidR="001F2018" w:rsidRDefault="00855B24" w:rsidP="00855B24">
      <w:pPr>
        <w:pStyle w:val="ListParagraph"/>
        <w:numPr>
          <w:ilvl w:val="1"/>
          <w:numId w:val="1"/>
        </w:numPr>
        <w:ind w:left="567" w:hanging="567"/>
      </w:pPr>
      <w:r>
        <w:t xml:space="preserve">Benefit realisation is in accordance with the forecast as detailed in 2.4? </w:t>
      </w:r>
    </w:p>
    <w:p w:rsidR="00855B24" w:rsidRDefault="00855B24" w:rsidP="001F2018">
      <w:pPr>
        <w:pStyle w:val="ListParagraph"/>
        <w:ind w:left="567"/>
        <w:jc w:val="right"/>
      </w:pPr>
      <w:r>
        <w:t>Yes / No</w:t>
      </w:r>
    </w:p>
    <w:tbl>
      <w:tblPr>
        <w:tblStyle w:val="TableGrid"/>
        <w:tblW w:w="9606" w:type="dxa"/>
        <w:tblLook w:val="04A0" w:firstRow="1" w:lastRow="0" w:firstColumn="1" w:lastColumn="0" w:noHBand="0" w:noVBand="1"/>
      </w:tblPr>
      <w:tblGrid>
        <w:gridCol w:w="9606"/>
      </w:tblGrid>
      <w:tr w:rsidR="00855B24" w:rsidTr="00597FF3">
        <w:tc>
          <w:tcPr>
            <w:tcW w:w="9606" w:type="dxa"/>
          </w:tcPr>
          <w:p w:rsidR="00855B24" w:rsidRDefault="00855B24" w:rsidP="00597FF3">
            <w:pPr>
              <w:pStyle w:val="ListParagraph"/>
              <w:ind w:left="567" w:hanging="567"/>
            </w:pPr>
            <w:r>
              <w:t>If No, please copy and update the table from 2.4 here</w:t>
            </w:r>
          </w:p>
        </w:tc>
      </w:tr>
    </w:tbl>
    <w:p w:rsidR="00855B24" w:rsidRDefault="00855B24" w:rsidP="00855B24">
      <w:pPr>
        <w:pStyle w:val="ListParagraph"/>
        <w:ind w:left="0"/>
      </w:pPr>
    </w:p>
    <w:tbl>
      <w:tblPr>
        <w:tblStyle w:val="TableGrid"/>
        <w:tblW w:w="9606" w:type="dxa"/>
        <w:tblLook w:val="04A0" w:firstRow="1" w:lastRow="0" w:firstColumn="1" w:lastColumn="0" w:noHBand="0" w:noVBand="1"/>
      </w:tblPr>
      <w:tblGrid>
        <w:gridCol w:w="1951"/>
        <w:gridCol w:w="7655"/>
      </w:tblGrid>
      <w:tr w:rsidR="00FE29C2" w:rsidRPr="00FE29C2" w:rsidTr="00E71389">
        <w:tc>
          <w:tcPr>
            <w:tcW w:w="9606" w:type="dxa"/>
            <w:gridSpan w:val="2"/>
            <w:tcBorders>
              <w:bottom w:val="single" w:sz="4" w:space="0" w:color="auto"/>
            </w:tcBorders>
            <w:shd w:val="clear" w:color="auto" w:fill="0000CC"/>
          </w:tcPr>
          <w:p w:rsidR="00FE29C2" w:rsidRPr="00FE29C2" w:rsidRDefault="00FE29C2" w:rsidP="00FE29C2">
            <w:pPr>
              <w:spacing w:before="120" w:after="60"/>
              <w:rPr>
                <w:color w:val="FFFFFF" w:themeColor="background1"/>
              </w:rPr>
            </w:pPr>
            <w:r w:rsidRPr="00FE29C2">
              <w:rPr>
                <w:b/>
                <w:color w:val="FFFFFF" w:themeColor="background1"/>
              </w:rPr>
              <w:t xml:space="preserve">Part </w:t>
            </w:r>
            <w:r>
              <w:rPr>
                <w:b/>
                <w:color w:val="FFFFFF" w:themeColor="background1"/>
              </w:rPr>
              <w:t>B</w:t>
            </w:r>
            <w:r w:rsidRPr="00FE29C2">
              <w:rPr>
                <w:b/>
                <w:color w:val="FFFFFF" w:themeColor="background1"/>
              </w:rPr>
              <w:t xml:space="preserve"> – Procurement </w:t>
            </w:r>
            <w:r w:rsidR="003A1427">
              <w:rPr>
                <w:b/>
                <w:color w:val="FFFFFF" w:themeColor="background1"/>
              </w:rPr>
              <w:t xml:space="preserve">Team </w:t>
            </w:r>
            <w:r>
              <w:rPr>
                <w:b/>
                <w:color w:val="FFFFFF" w:themeColor="background1"/>
              </w:rPr>
              <w:t xml:space="preserve">is satisfied that the procurement process was conducted in accordance with the strategy outlined above and that the recommendation to award the contract is supported. </w:t>
            </w:r>
          </w:p>
        </w:tc>
      </w:tr>
      <w:tr w:rsidR="00E71389" w:rsidRPr="00E71389" w:rsidTr="00E71389">
        <w:tc>
          <w:tcPr>
            <w:tcW w:w="9606" w:type="dxa"/>
            <w:gridSpan w:val="2"/>
            <w:shd w:val="clear" w:color="auto" w:fill="FFFFFF" w:themeFill="background1"/>
          </w:tcPr>
          <w:p w:rsidR="00E71389" w:rsidRPr="00E71389" w:rsidRDefault="00E71389" w:rsidP="00FE29C2">
            <w:pPr>
              <w:spacing w:before="120" w:after="60"/>
            </w:pPr>
            <w:r w:rsidRPr="00E71389">
              <w:t>Insert any comments</w:t>
            </w:r>
          </w:p>
        </w:tc>
      </w:tr>
      <w:tr w:rsidR="00FE29C2" w:rsidTr="001F2018">
        <w:tc>
          <w:tcPr>
            <w:tcW w:w="1951" w:type="dxa"/>
            <w:shd w:val="clear" w:color="auto" w:fill="E7F6FF"/>
          </w:tcPr>
          <w:p w:rsidR="00FE29C2" w:rsidRDefault="00FE29C2" w:rsidP="007805EE">
            <w:pPr>
              <w:spacing w:before="120" w:after="60"/>
            </w:pPr>
            <w:r>
              <w:t>Approved by</w:t>
            </w:r>
          </w:p>
        </w:tc>
        <w:tc>
          <w:tcPr>
            <w:tcW w:w="7655" w:type="dxa"/>
          </w:tcPr>
          <w:p w:rsidR="00FE29C2" w:rsidRDefault="00FE29C2" w:rsidP="007805EE">
            <w:pPr>
              <w:spacing w:before="120" w:after="60"/>
            </w:pPr>
          </w:p>
        </w:tc>
      </w:tr>
      <w:tr w:rsidR="00FE29C2" w:rsidTr="001F2018">
        <w:tc>
          <w:tcPr>
            <w:tcW w:w="1951" w:type="dxa"/>
            <w:shd w:val="clear" w:color="auto" w:fill="E7F6FF"/>
          </w:tcPr>
          <w:p w:rsidR="00FE29C2" w:rsidRDefault="00FE29C2" w:rsidP="007805EE">
            <w:pPr>
              <w:spacing w:before="120" w:after="60"/>
            </w:pPr>
            <w:r>
              <w:t>Date</w:t>
            </w:r>
          </w:p>
        </w:tc>
        <w:tc>
          <w:tcPr>
            <w:tcW w:w="7655" w:type="dxa"/>
          </w:tcPr>
          <w:p w:rsidR="00FE29C2" w:rsidRDefault="00FE29C2" w:rsidP="007805EE">
            <w:pPr>
              <w:spacing w:before="120" w:after="60"/>
            </w:pPr>
          </w:p>
        </w:tc>
      </w:tr>
    </w:tbl>
    <w:p w:rsidR="009B52AD" w:rsidRPr="008A22C6" w:rsidRDefault="009B52AD" w:rsidP="00AC33D0">
      <w:pPr>
        <w:pStyle w:val="ListParagraph"/>
        <w:ind w:left="0"/>
      </w:pPr>
    </w:p>
    <w:sectPr w:rsidR="009B52AD" w:rsidRPr="008A22C6" w:rsidSect="00855B24">
      <w:pgSz w:w="11906" w:h="16838"/>
      <w:pgMar w:top="1440" w:right="1361" w:bottom="1440"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D52" w:rsidRDefault="00331D52" w:rsidP="00286213">
      <w:r>
        <w:separator/>
      </w:r>
    </w:p>
  </w:endnote>
  <w:endnote w:type="continuationSeparator" w:id="0">
    <w:p w:rsidR="00331D52" w:rsidRDefault="00331D52" w:rsidP="0028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D52" w:rsidRDefault="00331D52" w:rsidP="00286213">
      <w:r>
        <w:separator/>
      </w:r>
    </w:p>
  </w:footnote>
  <w:footnote w:type="continuationSeparator" w:id="0">
    <w:p w:rsidR="00331D52" w:rsidRDefault="00331D52" w:rsidP="00286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11E4"/>
    <w:multiLevelType w:val="multilevel"/>
    <w:tmpl w:val="95E4F6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C275E6A"/>
    <w:multiLevelType w:val="multilevel"/>
    <w:tmpl w:val="95E4F6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E904CE2"/>
    <w:multiLevelType w:val="multilevel"/>
    <w:tmpl w:val="95E4F6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25F8559B"/>
    <w:multiLevelType w:val="multilevel"/>
    <w:tmpl w:val="95E4F6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2BB447F8"/>
    <w:multiLevelType w:val="multilevel"/>
    <w:tmpl w:val="95E4F6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390B148E"/>
    <w:multiLevelType w:val="multilevel"/>
    <w:tmpl w:val="95E4F6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414F2D41"/>
    <w:multiLevelType w:val="hybridMultilevel"/>
    <w:tmpl w:val="AC3AB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263867"/>
    <w:multiLevelType w:val="multilevel"/>
    <w:tmpl w:val="95E4F6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69256E7E"/>
    <w:multiLevelType w:val="multilevel"/>
    <w:tmpl w:val="95E4F6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6A157AE9"/>
    <w:multiLevelType w:val="multilevel"/>
    <w:tmpl w:val="95E4F6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70314CAE"/>
    <w:multiLevelType w:val="multilevel"/>
    <w:tmpl w:val="95E4F6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9"/>
  </w:num>
  <w:num w:numId="3">
    <w:abstractNumId w:val="2"/>
  </w:num>
  <w:num w:numId="4">
    <w:abstractNumId w:val="7"/>
  </w:num>
  <w:num w:numId="5">
    <w:abstractNumId w:val="1"/>
  </w:num>
  <w:num w:numId="6">
    <w:abstractNumId w:val="4"/>
  </w:num>
  <w:num w:numId="7">
    <w:abstractNumId w:val="10"/>
  </w:num>
  <w:num w:numId="8">
    <w:abstractNumId w:val="0"/>
  </w:num>
  <w:num w:numId="9">
    <w:abstractNumId w:val="5"/>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3D0"/>
    <w:rsid w:val="00023E30"/>
    <w:rsid w:val="000270F5"/>
    <w:rsid w:val="000277C4"/>
    <w:rsid w:val="00054B5F"/>
    <w:rsid w:val="00066709"/>
    <w:rsid w:val="0009796C"/>
    <w:rsid w:val="000B4310"/>
    <w:rsid w:val="000C707E"/>
    <w:rsid w:val="000D5B95"/>
    <w:rsid w:val="00104087"/>
    <w:rsid w:val="00120228"/>
    <w:rsid w:val="001534DE"/>
    <w:rsid w:val="00153B41"/>
    <w:rsid w:val="00193D85"/>
    <w:rsid w:val="001A76AF"/>
    <w:rsid w:val="001C10D0"/>
    <w:rsid w:val="001C27DD"/>
    <w:rsid w:val="001E4A66"/>
    <w:rsid w:val="001F2018"/>
    <w:rsid w:val="001F4F37"/>
    <w:rsid w:val="002348D6"/>
    <w:rsid w:val="00252F3D"/>
    <w:rsid w:val="00286213"/>
    <w:rsid w:val="002A780C"/>
    <w:rsid w:val="002A7D62"/>
    <w:rsid w:val="002B1AC3"/>
    <w:rsid w:val="002B34AA"/>
    <w:rsid w:val="002C0A96"/>
    <w:rsid w:val="002E4E70"/>
    <w:rsid w:val="002F0344"/>
    <w:rsid w:val="002F289F"/>
    <w:rsid w:val="002F3AC1"/>
    <w:rsid w:val="002F5F44"/>
    <w:rsid w:val="00300365"/>
    <w:rsid w:val="00304637"/>
    <w:rsid w:val="00331D52"/>
    <w:rsid w:val="00335724"/>
    <w:rsid w:val="003362A5"/>
    <w:rsid w:val="00371AD9"/>
    <w:rsid w:val="003A1427"/>
    <w:rsid w:val="003D682D"/>
    <w:rsid w:val="003E79C0"/>
    <w:rsid w:val="003F5B50"/>
    <w:rsid w:val="003F65B8"/>
    <w:rsid w:val="004000D7"/>
    <w:rsid w:val="00401A42"/>
    <w:rsid w:val="00403D49"/>
    <w:rsid w:val="004075BF"/>
    <w:rsid w:val="00412FFD"/>
    <w:rsid w:val="00413F6A"/>
    <w:rsid w:val="00414F55"/>
    <w:rsid w:val="004361AB"/>
    <w:rsid w:val="00453759"/>
    <w:rsid w:val="004B0E3B"/>
    <w:rsid w:val="004B736F"/>
    <w:rsid w:val="004C1ABE"/>
    <w:rsid w:val="004F6957"/>
    <w:rsid w:val="00504E43"/>
    <w:rsid w:val="00537F2A"/>
    <w:rsid w:val="00566EBD"/>
    <w:rsid w:val="005A2B53"/>
    <w:rsid w:val="005C7B0A"/>
    <w:rsid w:val="005E46A2"/>
    <w:rsid w:val="005E4EBE"/>
    <w:rsid w:val="006134EF"/>
    <w:rsid w:val="00630148"/>
    <w:rsid w:val="00653437"/>
    <w:rsid w:val="00675ADB"/>
    <w:rsid w:val="006B3074"/>
    <w:rsid w:val="007206EE"/>
    <w:rsid w:val="007236A6"/>
    <w:rsid w:val="00745130"/>
    <w:rsid w:val="00751FAE"/>
    <w:rsid w:val="00777533"/>
    <w:rsid w:val="007908F4"/>
    <w:rsid w:val="007D720E"/>
    <w:rsid w:val="007E52A0"/>
    <w:rsid w:val="007F56A5"/>
    <w:rsid w:val="00811EF5"/>
    <w:rsid w:val="00812199"/>
    <w:rsid w:val="008122D2"/>
    <w:rsid w:val="00813F17"/>
    <w:rsid w:val="00820136"/>
    <w:rsid w:val="00855B24"/>
    <w:rsid w:val="008614D7"/>
    <w:rsid w:val="008939E3"/>
    <w:rsid w:val="008A22C6"/>
    <w:rsid w:val="008A44CE"/>
    <w:rsid w:val="008A4E11"/>
    <w:rsid w:val="008E6DF6"/>
    <w:rsid w:val="008F120C"/>
    <w:rsid w:val="00901B09"/>
    <w:rsid w:val="00915DA4"/>
    <w:rsid w:val="009345A0"/>
    <w:rsid w:val="00942782"/>
    <w:rsid w:val="009501F2"/>
    <w:rsid w:val="00956A86"/>
    <w:rsid w:val="00974F90"/>
    <w:rsid w:val="00991E0A"/>
    <w:rsid w:val="009A226D"/>
    <w:rsid w:val="009B3105"/>
    <w:rsid w:val="009B52AD"/>
    <w:rsid w:val="009C6816"/>
    <w:rsid w:val="009E1212"/>
    <w:rsid w:val="00A2263C"/>
    <w:rsid w:val="00A2745C"/>
    <w:rsid w:val="00A334C3"/>
    <w:rsid w:val="00A94517"/>
    <w:rsid w:val="00A97186"/>
    <w:rsid w:val="00AB3A26"/>
    <w:rsid w:val="00AC33D0"/>
    <w:rsid w:val="00AF0127"/>
    <w:rsid w:val="00AF6D2E"/>
    <w:rsid w:val="00B1513A"/>
    <w:rsid w:val="00B2691C"/>
    <w:rsid w:val="00B3347F"/>
    <w:rsid w:val="00B849D5"/>
    <w:rsid w:val="00B91858"/>
    <w:rsid w:val="00BB2C96"/>
    <w:rsid w:val="00BC3EFD"/>
    <w:rsid w:val="00C07F80"/>
    <w:rsid w:val="00C15E8D"/>
    <w:rsid w:val="00C168C3"/>
    <w:rsid w:val="00C44B20"/>
    <w:rsid w:val="00C66C03"/>
    <w:rsid w:val="00C706C6"/>
    <w:rsid w:val="00C71AB4"/>
    <w:rsid w:val="00C90C8F"/>
    <w:rsid w:val="00C921FA"/>
    <w:rsid w:val="00CA7071"/>
    <w:rsid w:val="00CB3418"/>
    <w:rsid w:val="00CC5BFA"/>
    <w:rsid w:val="00CE7EC5"/>
    <w:rsid w:val="00D069A3"/>
    <w:rsid w:val="00D071D3"/>
    <w:rsid w:val="00D43EFD"/>
    <w:rsid w:val="00D75A77"/>
    <w:rsid w:val="00D81AB2"/>
    <w:rsid w:val="00DB504D"/>
    <w:rsid w:val="00DC29F6"/>
    <w:rsid w:val="00DC3E54"/>
    <w:rsid w:val="00DE2929"/>
    <w:rsid w:val="00DE3C3D"/>
    <w:rsid w:val="00E11431"/>
    <w:rsid w:val="00E164D6"/>
    <w:rsid w:val="00E42ED9"/>
    <w:rsid w:val="00E71389"/>
    <w:rsid w:val="00E87697"/>
    <w:rsid w:val="00E90266"/>
    <w:rsid w:val="00E937B4"/>
    <w:rsid w:val="00EA157E"/>
    <w:rsid w:val="00EA38F7"/>
    <w:rsid w:val="00EB6A85"/>
    <w:rsid w:val="00ED42D8"/>
    <w:rsid w:val="00EE09D1"/>
    <w:rsid w:val="00EF5001"/>
    <w:rsid w:val="00F03377"/>
    <w:rsid w:val="00F047B0"/>
    <w:rsid w:val="00F41558"/>
    <w:rsid w:val="00F70FA9"/>
    <w:rsid w:val="00F71B4C"/>
    <w:rsid w:val="00F74523"/>
    <w:rsid w:val="00F8244F"/>
    <w:rsid w:val="00F854CB"/>
    <w:rsid w:val="00F9258A"/>
    <w:rsid w:val="00F9410F"/>
    <w:rsid w:val="00FC491C"/>
    <w:rsid w:val="00FC53E3"/>
    <w:rsid w:val="00FD3A85"/>
    <w:rsid w:val="00FE29C2"/>
    <w:rsid w:val="00FF3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7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3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33D0"/>
    <w:pPr>
      <w:ind w:left="720"/>
      <w:contextualSpacing/>
    </w:pPr>
  </w:style>
  <w:style w:type="paragraph" w:styleId="Header">
    <w:name w:val="header"/>
    <w:basedOn w:val="Normal"/>
    <w:link w:val="HeaderChar"/>
    <w:uiPriority w:val="99"/>
    <w:unhideWhenUsed/>
    <w:rsid w:val="00286213"/>
    <w:pPr>
      <w:tabs>
        <w:tab w:val="center" w:pos="4513"/>
        <w:tab w:val="right" w:pos="9026"/>
      </w:tabs>
    </w:pPr>
  </w:style>
  <w:style w:type="character" w:customStyle="1" w:styleId="HeaderChar">
    <w:name w:val="Header Char"/>
    <w:basedOn w:val="DefaultParagraphFont"/>
    <w:link w:val="Header"/>
    <w:uiPriority w:val="99"/>
    <w:rsid w:val="00286213"/>
  </w:style>
  <w:style w:type="paragraph" w:styleId="Footer">
    <w:name w:val="footer"/>
    <w:basedOn w:val="Normal"/>
    <w:link w:val="FooterChar"/>
    <w:uiPriority w:val="99"/>
    <w:unhideWhenUsed/>
    <w:rsid w:val="00286213"/>
    <w:pPr>
      <w:tabs>
        <w:tab w:val="center" w:pos="4513"/>
        <w:tab w:val="right" w:pos="9026"/>
      </w:tabs>
    </w:pPr>
  </w:style>
  <w:style w:type="character" w:customStyle="1" w:styleId="FooterChar">
    <w:name w:val="Footer Char"/>
    <w:basedOn w:val="DefaultParagraphFont"/>
    <w:link w:val="Footer"/>
    <w:uiPriority w:val="99"/>
    <w:rsid w:val="00286213"/>
  </w:style>
  <w:style w:type="character" w:styleId="Strong">
    <w:name w:val="Strong"/>
    <w:basedOn w:val="DefaultParagraphFont"/>
    <w:qFormat/>
    <w:rsid w:val="00304637"/>
    <w:rPr>
      <w:b/>
      <w:bCs/>
    </w:rPr>
  </w:style>
  <w:style w:type="character" w:styleId="CommentReference">
    <w:name w:val="annotation reference"/>
    <w:basedOn w:val="DefaultParagraphFont"/>
    <w:uiPriority w:val="99"/>
    <w:semiHidden/>
    <w:unhideWhenUsed/>
    <w:rsid w:val="001F4F37"/>
    <w:rPr>
      <w:sz w:val="16"/>
      <w:szCs w:val="16"/>
    </w:rPr>
  </w:style>
  <w:style w:type="paragraph" w:styleId="CommentText">
    <w:name w:val="annotation text"/>
    <w:basedOn w:val="Normal"/>
    <w:link w:val="CommentTextChar"/>
    <w:uiPriority w:val="99"/>
    <w:semiHidden/>
    <w:unhideWhenUsed/>
    <w:rsid w:val="001F4F37"/>
    <w:rPr>
      <w:sz w:val="20"/>
      <w:szCs w:val="20"/>
    </w:rPr>
  </w:style>
  <w:style w:type="character" w:customStyle="1" w:styleId="CommentTextChar">
    <w:name w:val="Comment Text Char"/>
    <w:basedOn w:val="DefaultParagraphFont"/>
    <w:link w:val="CommentText"/>
    <w:uiPriority w:val="99"/>
    <w:semiHidden/>
    <w:rsid w:val="001F4F37"/>
    <w:rPr>
      <w:sz w:val="20"/>
      <w:szCs w:val="20"/>
    </w:rPr>
  </w:style>
  <w:style w:type="paragraph" w:styleId="CommentSubject">
    <w:name w:val="annotation subject"/>
    <w:basedOn w:val="CommentText"/>
    <w:next w:val="CommentText"/>
    <w:link w:val="CommentSubjectChar"/>
    <w:uiPriority w:val="99"/>
    <w:semiHidden/>
    <w:unhideWhenUsed/>
    <w:rsid w:val="001F4F37"/>
    <w:rPr>
      <w:b/>
      <w:bCs/>
    </w:rPr>
  </w:style>
  <w:style w:type="character" w:customStyle="1" w:styleId="CommentSubjectChar">
    <w:name w:val="Comment Subject Char"/>
    <w:basedOn w:val="CommentTextChar"/>
    <w:link w:val="CommentSubject"/>
    <w:uiPriority w:val="99"/>
    <w:semiHidden/>
    <w:rsid w:val="001F4F37"/>
    <w:rPr>
      <w:b/>
      <w:bCs/>
      <w:sz w:val="20"/>
      <w:szCs w:val="20"/>
    </w:rPr>
  </w:style>
  <w:style w:type="paragraph" w:styleId="BalloonText">
    <w:name w:val="Balloon Text"/>
    <w:basedOn w:val="Normal"/>
    <w:link w:val="BalloonTextChar"/>
    <w:uiPriority w:val="99"/>
    <w:semiHidden/>
    <w:unhideWhenUsed/>
    <w:rsid w:val="001F4F37"/>
    <w:rPr>
      <w:rFonts w:ascii="Tahoma" w:hAnsi="Tahoma" w:cs="Tahoma"/>
      <w:sz w:val="16"/>
      <w:szCs w:val="16"/>
    </w:rPr>
  </w:style>
  <w:style w:type="character" w:customStyle="1" w:styleId="BalloonTextChar">
    <w:name w:val="Balloon Text Char"/>
    <w:basedOn w:val="DefaultParagraphFont"/>
    <w:link w:val="BalloonText"/>
    <w:uiPriority w:val="99"/>
    <w:semiHidden/>
    <w:rsid w:val="001F4F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7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3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33D0"/>
    <w:pPr>
      <w:ind w:left="720"/>
      <w:contextualSpacing/>
    </w:pPr>
  </w:style>
  <w:style w:type="paragraph" w:styleId="Header">
    <w:name w:val="header"/>
    <w:basedOn w:val="Normal"/>
    <w:link w:val="HeaderChar"/>
    <w:uiPriority w:val="99"/>
    <w:unhideWhenUsed/>
    <w:rsid w:val="00286213"/>
    <w:pPr>
      <w:tabs>
        <w:tab w:val="center" w:pos="4513"/>
        <w:tab w:val="right" w:pos="9026"/>
      </w:tabs>
    </w:pPr>
  </w:style>
  <w:style w:type="character" w:customStyle="1" w:styleId="HeaderChar">
    <w:name w:val="Header Char"/>
    <w:basedOn w:val="DefaultParagraphFont"/>
    <w:link w:val="Header"/>
    <w:uiPriority w:val="99"/>
    <w:rsid w:val="00286213"/>
  </w:style>
  <w:style w:type="paragraph" w:styleId="Footer">
    <w:name w:val="footer"/>
    <w:basedOn w:val="Normal"/>
    <w:link w:val="FooterChar"/>
    <w:uiPriority w:val="99"/>
    <w:unhideWhenUsed/>
    <w:rsid w:val="00286213"/>
    <w:pPr>
      <w:tabs>
        <w:tab w:val="center" w:pos="4513"/>
        <w:tab w:val="right" w:pos="9026"/>
      </w:tabs>
    </w:pPr>
  </w:style>
  <w:style w:type="character" w:customStyle="1" w:styleId="FooterChar">
    <w:name w:val="Footer Char"/>
    <w:basedOn w:val="DefaultParagraphFont"/>
    <w:link w:val="Footer"/>
    <w:uiPriority w:val="99"/>
    <w:rsid w:val="00286213"/>
  </w:style>
  <w:style w:type="character" w:styleId="Strong">
    <w:name w:val="Strong"/>
    <w:basedOn w:val="DefaultParagraphFont"/>
    <w:qFormat/>
    <w:rsid w:val="00304637"/>
    <w:rPr>
      <w:b/>
      <w:bCs/>
    </w:rPr>
  </w:style>
  <w:style w:type="character" w:styleId="CommentReference">
    <w:name w:val="annotation reference"/>
    <w:basedOn w:val="DefaultParagraphFont"/>
    <w:uiPriority w:val="99"/>
    <w:semiHidden/>
    <w:unhideWhenUsed/>
    <w:rsid w:val="001F4F37"/>
    <w:rPr>
      <w:sz w:val="16"/>
      <w:szCs w:val="16"/>
    </w:rPr>
  </w:style>
  <w:style w:type="paragraph" w:styleId="CommentText">
    <w:name w:val="annotation text"/>
    <w:basedOn w:val="Normal"/>
    <w:link w:val="CommentTextChar"/>
    <w:uiPriority w:val="99"/>
    <w:semiHidden/>
    <w:unhideWhenUsed/>
    <w:rsid w:val="001F4F37"/>
    <w:rPr>
      <w:sz w:val="20"/>
      <w:szCs w:val="20"/>
    </w:rPr>
  </w:style>
  <w:style w:type="character" w:customStyle="1" w:styleId="CommentTextChar">
    <w:name w:val="Comment Text Char"/>
    <w:basedOn w:val="DefaultParagraphFont"/>
    <w:link w:val="CommentText"/>
    <w:uiPriority w:val="99"/>
    <w:semiHidden/>
    <w:rsid w:val="001F4F37"/>
    <w:rPr>
      <w:sz w:val="20"/>
      <w:szCs w:val="20"/>
    </w:rPr>
  </w:style>
  <w:style w:type="paragraph" w:styleId="CommentSubject">
    <w:name w:val="annotation subject"/>
    <w:basedOn w:val="CommentText"/>
    <w:next w:val="CommentText"/>
    <w:link w:val="CommentSubjectChar"/>
    <w:uiPriority w:val="99"/>
    <w:semiHidden/>
    <w:unhideWhenUsed/>
    <w:rsid w:val="001F4F37"/>
    <w:rPr>
      <w:b/>
      <w:bCs/>
    </w:rPr>
  </w:style>
  <w:style w:type="character" w:customStyle="1" w:styleId="CommentSubjectChar">
    <w:name w:val="Comment Subject Char"/>
    <w:basedOn w:val="CommentTextChar"/>
    <w:link w:val="CommentSubject"/>
    <w:uiPriority w:val="99"/>
    <w:semiHidden/>
    <w:rsid w:val="001F4F37"/>
    <w:rPr>
      <w:b/>
      <w:bCs/>
      <w:sz w:val="20"/>
      <w:szCs w:val="20"/>
    </w:rPr>
  </w:style>
  <w:style w:type="paragraph" w:styleId="BalloonText">
    <w:name w:val="Balloon Text"/>
    <w:basedOn w:val="Normal"/>
    <w:link w:val="BalloonTextChar"/>
    <w:uiPriority w:val="99"/>
    <w:semiHidden/>
    <w:unhideWhenUsed/>
    <w:rsid w:val="001F4F37"/>
    <w:rPr>
      <w:rFonts w:ascii="Tahoma" w:hAnsi="Tahoma" w:cs="Tahoma"/>
      <w:sz w:val="16"/>
      <w:szCs w:val="16"/>
    </w:rPr>
  </w:style>
  <w:style w:type="character" w:customStyle="1" w:styleId="BalloonTextChar">
    <w:name w:val="Balloon Text Char"/>
    <w:basedOn w:val="DefaultParagraphFont"/>
    <w:link w:val="BalloonText"/>
    <w:uiPriority w:val="99"/>
    <w:semiHidden/>
    <w:rsid w:val="001F4F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82924">
      <w:bodyDiv w:val="1"/>
      <w:marLeft w:val="0"/>
      <w:marRight w:val="0"/>
      <w:marTop w:val="0"/>
      <w:marBottom w:val="0"/>
      <w:divBdr>
        <w:top w:val="none" w:sz="0" w:space="0" w:color="auto"/>
        <w:left w:val="none" w:sz="0" w:space="0" w:color="auto"/>
        <w:bottom w:val="none" w:sz="0" w:space="0" w:color="auto"/>
        <w:right w:val="none" w:sz="0" w:space="0" w:color="auto"/>
      </w:divBdr>
      <w:divsChild>
        <w:div w:id="2000763745">
          <w:marLeft w:val="0"/>
          <w:marRight w:val="0"/>
          <w:marTop w:val="0"/>
          <w:marBottom w:val="0"/>
          <w:divBdr>
            <w:top w:val="none" w:sz="0" w:space="0" w:color="auto"/>
            <w:left w:val="none" w:sz="0" w:space="0" w:color="auto"/>
            <w:bottom w:val="none" w:sz="0" w:space="0" w:color="auto"/>
            <w:right w:val="none" w:sz="0" w:space="0" w:color="auto"/>
          </w:divBdr>
          <w:divsChild>
            <w:div w:id="2092197902">
              <w:marLeft w:val="0"/>
              <w:marRight w:val="0"/>
              <w:marTop w:val="0"/>
              <w:marBottom w:val="0"/>
              <w:divBdr>
                <w:top w:val="none" w:sz="0" w:space="0" w:color="auto"/>
                <w:left w:val="none" w:sz="0" w:space="0" w:color="auto"/>
                <w:bottom w:val="none" w:sz="0" w:space="0" w:color="auto"/>
                <w:right w:val="none" w:sz="0" w:space="0" w:color="auto"/>
              </w:divBdr>
              <w:divsChild>
                <w:div w:id="231936138">
                  <w:marLeft w:val="0"/>
                  <w:marRight w:val="0"/>
                  <w:marTop w:val="0"/>
                  <w:marBottom w:val="0"/>
                  <w:divBdr>
                    <w:top w:val="none" w:sz="0" w:space="0" w:color="auto"/>
                    <w:left w:val="none" w:sz="0" w:space="0" w:color="auto"/>
                    <w:bottom w:val="none" w:sz="0" w:space="0" w:color="auto"/>
                    <w:right w:val="none" w:sz="0" w:space="0" w:color="auto"/>
                  </w:divBdr>
                  <w:divsChild>
                    <w:div w:id="1577133062">
                      <w:marLeft w:val="0"/>
                      <w:marRight w:val="0"/>
                      <w:marTop w:val="0"/>
                      <w:marBottom w:val="0"/>
                      <w:divBdr>
                        <w:top w:val="none" w:sz="0" w:space="0" w:color="auto"/>
                        <w:left w:val="none" w:sz="0" w:space="0" w:color="auto"/>
                        <w:bottom w:val="none" w:sz="0" w:space="0" w:color="auto"/>
                        <w:right w:val="none" w:sz="0" w:space="0" w:color="auto"/>
                      </w:divBdr>
                      <w:divsChild>
                        <w:div w:id="432477735">
                          <w:marLeft w:val="0"/>
                          <w:marRight w:val="0"/>
                          <w:marTop w:val="0"/>
                          <w:marBottom w:val="0"/>
                          <w:divBdr>
                            <w:top w:val="none" w:sz="0" w:space="0" w:color="auto"/>
                            <w:left w:val="none" w:sz="0" w:space="0" w:color="auto"/>
                            <w:bottom w:val="none" w:sz="0" w:space="0" w:color="auto"/>
                            <w:right w:val="none" w:sz="0" w:space="0" w:color="auto"/>
                          </w:divBdr>
                          <w:divsChild>
                            <w:div w:id="2073383962">
                              <w:marLeft w:val="0"/>
                              <w:marRight w:val="0"/>
                              <w:marTop w:val="0"/>
                              <w:marBottom w:val="0"/>
                              <w:divBdr>
                                <w:top w:val="none" w:sz="0" w:space="0" w:color="auto"/>
                                <w:left w:val="none" w:sz="0" w:space="0" w:color="auto"/>
                                <w:bottom w:val="none" w:sz="0" w:space="0" w:color="auto"/>
                                <w:right w:val="none" w:sz="0" w:space="0" w:color="auto"/>
                              </w:divBdr>
                              <w:divsChild>
                                <w:div w:id="1233271665">
                                  <w:marLeft w:val="0"/>
                                  <w:marRight w:val="0"/>
                                  <w:marTop w:val="0"/>
                                  <w:marBottom w:val="0"/>
                                  <w:divBdr>
                                    <w:top w:val="none" w:sz="0" w:space="0" w:color="auto"/>
                                    <w:left w:val="none" w:sz="0" w:space="0" w:color="auto"/>
                                    <w:bottom w:val="none" w:sz="0" w:space="0" w:color="auto"/>
                                    <w:right w:val="none" w:sz="0" w:space="0" w:color="auto"/>
                                  </w:divBdr>
                                  <w:divsChild>
                                    <w:div w:id="154922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42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9B7D5-DC41-42A6-8054-C8B91C5D3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B957EA4B</Template>
  <TotalTime>27</TotalTime>
  <Pages>11</Pages>
  <Words>3580</Words>
  <Characters>20409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Caroline.wood</dc:creator>
  <cp:lastModifiedBy>Nicky.Atkin</cp:lastModifiedBy>
  <cp:revision>5</cp:revision>
  <dcterms:created xsi:type="dcterms:W3CDTF">2015-11-20T11:04:00Z</dcterms:created>
  <dcterms:modified xsi:type="dcterms:W3CDTF">2015-12-08T14:22:00Z</dcterms:modified>
</cp:coreProperties>
</file>